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040F2" w14:textId="77777777" w:rsidR="004E1BBB" w:rsidRPr="00E66B29" w:rsidRDefault="004E1BBB" w:rsidP="004E1BBB">
      <w:pPr>
        <w:spacing w:after="100"/>
        <w:rPr>
          <w:rFonts w:cstheme="minorHAnsi"/>
          <w:b/>
          <w:bCs/>
          <w:sz w:val="24"/>
          <w:lang w:val="en-GB"/>
        </w:rPr>
      </w:pPr>
      <w:bookmarkStart w:id="0" w:name="_Hlk40351288"/>
      <w:r>
        <w:rPr>
          <w:rFonts w:cstheme="minorHAnsi"/>
          <w:b/>
          <w:bCs/>
          <w:sz w:val="24"/>
          <w:lang w:val="en-GB"/>
        </w:rPr>
        <w:t>S</w:t>
      </w:r>
      <w:r w:rsidRPr="00E66B29">
        <w:rPr>
          <w:rFonts w:cstheme="minorHAnsi"/>
          <w:b/>
          <w:bCs/>
          <w:sz w:val="24"/>
          <w:lang w:val="en-GB"/>
        </w:rPr>
        <w:t>ocial inequalities in the associations between urban green spaces, self-perceived health and mortality</w:t>
      </w:r>
      <w:r>
        <w:rPr>
          <w:rFonts w:cstheme="minorHAnsi"/>
          <w:b/>
          <w:bCs/>
          <w:sz w:val="24"/>
          <w:lang w:val="en-GB"/>
        </w:rPr>
        <w:t xml:space="preserve"> in Brussels</w:t>
      </w:r>
      <w:r w:rsidRPr="00E66B29">
        <w:rPr>
          <w:rFonts w:cstheme="minorHAnsi"/>
          <w:b/>
          <w:bCs/>
          <w:sz w:val="24"/>
          <w:lang w:val="en-GB"/>
        </w:rPr>
        <w:t xml:space="preserve">: results from a </w:t>
      </w:r>
      <w:r>
        <w:rPr>
          <w:rFonts w:cstheme="minorHAnsi"/>
          <w:b/>
          <w:bCs/>
          <w:sz w:val="24"/>
          <w:lang w:val="en-GB"/>
        </w:rPr>
        <w:t>census</w:t>
      </w:r>
      <w:r w:rsidRPr="00E66B29">
        <w:rPr>
          <w:rFonts w:cstheme="minorHAnsi"/>
          <w:b/>
          <w:bCs/>
          <w:sz w:val="24"/>
          <w:lang w:val="en-GB"/>
        </w:rPr>
        <w:t>-based cohort</w:t>
      </w:r>
      <w:r>
        <w:rPr>
          <w:rFonts w:cstheme="minorHAnsi"/>
          <w:b/>
          <w:bCs/>
          <w:sz w:val="24"/>
          <w:lang w:val="en-GB"/>
        </w:rPr>
        <w:t xml:space="preserve"> study</w:t>
      </w:r>
    </w:p>
    <w:p w14:paraId="0E987895" w14:textId="77777777" w:rsidR="004E1BBB" w:rsidRPr="00E66B29" w:rsidRDefault="004E1BBB" w:rsidP="004E1BBB">
      <w:pPr>
        <w:spacing w:after="100"/>
        <w:rPr>
          <w:rFonts w:cstheme="minorHAnsi"/>
          <w:lang w:val="en-GB"/>
        </w:rPr>
      </w:pPr>
      <w:r w:rsidRPr="00E66B29">
        <w:rPr>
          <w:rFonts w:cstheme="minorHAnsi"/>
          <w:lang w:val="en-GB"/>
        </w:rPr>
        <w:t>Lucía Rodriguez-</w:t>
      </w:r>
      <w:proofErr w:type="spellStart"/>
      <w:r w:rsidRPr="00E66B29">
        <w:rPr>
          <w:rFonts w:cstheme="minorHAnsi"/>
          <w:lang w:val="en-GB"/>
        </w:rPr>
        <w:t>Loureiro</w:t>
      </w:r>
      <w:r w:rsidRPr="00E66B29">
        <w:rPr>
          <w:rFonts w:cstheme="minorHAnsi"/>
          <w:vertAlign w:val="superscript"/>
          <w:lang w:val="en-GB"/>
        </w:rPr>
        <w:t>a</w:t>
      </w:r>
      <w:proofErr w:type="spellEnd"/>
      <w:r w:rsidRPr="00E66B29">
        <w:rPr>
          <w:rFonts w:cstheme="minorHAnsi"/>
          <w:vertAlign w:val="superscript"/>
          <w:lang w:val="en-GB"/>
        </w:rPr>
        <w:t>*</w:t>
      </w:r>
      <w:r w:rsidRPr="00E66B29">
        <w:rPr>
          <w:rFonts w:cstheme="minorHAnsi"/>
          <w:lang w:val="en-GB"/>
        </w:rPr>
        <w:t xml:space="preserve">, Lidia </w:t>
      </w:r>
      <w:proofErr w:type="spellStart"/>
      <w:proofErr w:type="gramStart"/>
      <w:r w:rsidRPr="00E66B29">
        <w:rPr>
          <w:rFonts w:cstheme="minorHAnsi"/>
          <w:lang w:val="en-GB"/>
        </w:rPr>
        <w:t>Casas</w:t>
      </w:r>
      <w:r w:rsidRPr="00E66B29">
        <w:rPr>
          <w:rFonts w:cstheme="minorHAnsi"/>
          <w:vertAlign w:val="superscript"/>
          <w:lang w:val="en-GB"/>
        </w:rPr>
        <w:t>b,c</w:t>
      </w:r>
      <w:proofErr w:type="spellEnd"/>
      <w:proofErr w:type="gramEnd"/>
      <w:r w:rsidRPr="00E66B29">
        <w:rPr>
          <w:rFonts w:cstheme="minorHAnsi"/>
          <w:lang w:val="en-GB"/>
        </w:rPr>
        <w:t xml:space="preserve">, Mariska </w:t>
      </w:r>
      <w:proofErr w:type="spellStart"/>
      <w:r w:rsidRPr="00E66B29">
        <w:rPr>
          <w:rFonts w:cstheme="minorHAnsi"/>
          <w:lang w:val="en-GB"/>
        </w:rPr>
        <w:t>Bauwelinck</w:t>
      </w:r>
      <w:r w:rsidRPr="00E66B29">
        <w:rPr>
          <w:rFonts w:cstheme="minorHAnsi"/>
          <w:vertAlign w:val="superscript"/>
          <w:lang w:val="en-GB"/>
        </w:rPr>
        <w:t>a</w:t>
      </w:r>
      <w:proofErr w:type="spellEnd"/>
      <w:r w:rsidRPr="00E66B29">
        <w:rPr>
          <w:rFonts w:cstheme="minorHAnsi"/>
          <w:lang w:val="en-GB"/>
        </w:rPr>
        <w:t xml:space="preserve">, </w:t>
      </w:r>
      <w:proofErr w:type="spellStart"/>
      <w:r w:rsidRPr="00E66B29">
        <w:rPr>
          <w:rFonts w:cstheme="minorHAnsi"/>
          <w:lang w:val="en-GB"/>
        </w:rPr>
        <w:t>Wouter</w:t>
      </w:r>
      <w:proofErr w:type="spellEnd"/>
      <w:r w:rsidRPr="00E66B29">
        <w:rPr>
          <w:rFonts w:cstheme="minorHAnsi"/>
          <w:lang w:val="en-GB"/>
        </w:rPr>
        <w:t xml:space="preserve"> </w:t>
      </w:r>
      <w:proofErr w:type="spellStart"/>
      <w:r w:rsidRPr="00E66B29">
        <w:rPr>
          <w:rFonts w:cstheme="minorHAnsi"/>
          <w:lang w:val="en-GB"/>
        </w:rPr>
        <w:t>Lefebvre</w:t>
      </w:r>
      <w:r w:rsidRPr="00E66B29">
        <w:rPr>
          <w:rFonts w:cstheme="minorHAnsi"/>
          <w:vertAlign w:val="superscript"/>
          <w:lang w:val="en-GB"/>
        </w:rPr>
        <w:t>d</w:t>
      </w:r>
      <w:proofErr w:type="spellEnd"/>
      <w:r w:rsidRPr="00E66B29">
        <w:rPr>
          <w:rFonts w:cstheme="minorHAnsi"/>
          <w:lang w:val="en-GB"/>
        </w:rPr>
        <w:t xml:space="preserve">, Charlotte </w:t>
      </w:r>
      <w:proofErr w:type="spellStart"/>
      <w:r w:rsidRPr="00E66B29">
        <w:rPr>
          <w:rFonts w:cstheme="minorHAnsi"/>
          <w:lang w:val="en-GB"/>
        </w:rPr>
        <w:t>Vanpoucke</w:t>
      </w:r>
      <w:r w:rsidRPr="00E66B29">
        <w:rPr>
          <w:rFonts w:cstheme="minorHAnsi"/>
          <w:vertAlign w:val="superscript"/>
          <w:lang w:val="en-GB"/>
        </w:rPr>
        <w:t>e</w:t>
      </w:r>
      <w:proofErr w:type="spellEnd"/>
      <w:r w:rsidRPr="00E66B29">
        <w:rPr>
          <w:rFonts w:cstheme="minorHAnsi"/>
          <w:lang w:val="en-GB"/>
        </w:rPr>
        <w:t xml:space="preserve">, Christophe </w:t>
      </w:r>
      <w:proofErr w:type="spellStart"/>
      <w:r w:rsidRPr="00E66B29">
        <w:rPr>
          <w:rFonts w:cstheme="minorHAnsi"/>
          <w:lang w:val="en-GB"/>
        </w:rPr>
        <w:t>Vanroelen</w:t>
      </w:r>
      <w:r w:rsidRPr="00E66B29">
        <w:rPr>
          <w:rFonts w:cstheme="minorHAnsi"/>
          <w:vertAlign w:val="superscript"/>
          <w:lang w:val="en-GB"/>
        </w:rPr>
        <w:t>a,f</w:t>
      </w:r>
      <w:proofErr w:type="spellEnd"/>
      <w:r w:rsidRPr="00E66B29">
        <w:rPr>
          <w:rFonts w:cstheme="minorHAnsi"/>
          <w:lang w:val="en-GB"/>
        </w:rPr>
        <w:t xml:space="preserve">, Sylvie </w:t>
      </w:r>
      <w:proofErr w:type="spellStart"/>
      <w:r w:rsidRPr="00E66B29">
        <w:rPr>
          <w:rFonts w:cstheme="minorHAnsi"/>
          <w:lang w:val="en-GB"/>
        </w:rPr>
        <w:t>Gadeyne</w:t>
      </w:r>
      <w:r w:rsidRPr="00E66B29">
        <w:rPr>
          <w:rFonts w:cstheme="minorHAnsi"/>
          <w:vertAlign w:val="superscript"/>
          <w:lang w:val="en-GB"/>
        </w:rPr>
        <w:t>a</w:t>
      </w:r>
      <w:proofErr w:type="spellEnd"/>
    </w:p>
    <w:p w14:paraId="0A56987D" w14:textId="77777777" w:rsidR="004E1BBB" w:rsidRPr="00E66B29" w:rsidRDefault="004E1BBB" w:rsidP="004E1BBB">
      <w:pPr>
        <w:spacing w:after="100"/>
        <w:rPr>
          <w:rFonts w:cstheme="minorHAnsi"/>
          <w:szCs w:val="22"/>
          <w:lang w:val="en-GB"/>
        </w:rPr>
      </w:pPr>
    </w:p>
    <w:p w14:paraId="3724BB44" w14:textId="77777777" w:rsidR="004E1BBB" w:rsidRPr="00E66B29" w:rsidRDefault="004E1BBB" w:rsidP="004E1BBB">
      <w:pPr>
        <w:spacing w:after="100"/>
        <w:rPr>
          <w:rFonts w:cstheme="minorHAnsi"/>
          <w:szCs w:val="22"/>
          <w:lang w:val="en-GB"/>
        </w:rPr>
      </w:pPr>
      <w:proofErr w:type="spellStart"/>
      <w:proofErr w:type="gramStart"/>
      <w:r w:rsidRPr="00E66B29">
        <w:rPr>
          <w:rFonts w:cstheme="minorHAnsi"/>
          <w:szCs w:val="22"/>
          <w:lang w:val="en-GB"/>
        </w:rPr>
        <w:t>a</w:t>
      </w:r>
      <w:proofErr w:type="spellEnd"/>
      <w:proofErr w:type="gramEnd"/>
      <w:r w:rsidRPr="00E66B29">
        <w:rPr>
          <w:rFonts w:cstheme="minorHAnsi"/>
          <w:szCs w:val="22"/>
          <w:lang w:val="en-GB"/>
        </w:rPr>
        <w:t xml:space="preserve"> Interface Demography, Department of Sociology, Vrije Universiteit Brussel, Brussel, Belgium. </w:t>
      </w:r>
    </w:p>
    <w:p w14:paraId="173100F6" w14:textId="77777777" w:rsidR="004E1BBB" w:rsidRPr="00E66B29" w:rsidRDefault="004E1BBB" w:rsidP="004E1BBB">
      <w:pPr>
        <w:spacing w:after="100"/>
        <w:rPr>
          <w:rFonts w:cstheme="minorHAnsi"/>
          <w:szCs w:val="22"/>
          <w:lang w:val="en-GB"/>
        </w:rPr>
      </w:pPr>
      <w:r w:rsidRPr="00E66B29">
        <w:rPr>
          <w:rFonts w:cstheme="minorHAnsi"/>
          <w:szCs w:val="22"/>
          <w:lang w:val="en-GB"/>
        </w:rPr>
        <w:t xml:space="preserve">b Centre for Environment and Health, Department of Public Health and Primary Care, KU Leuven, Leuven, Belgium. </w:t>
      </w:r>
    </w:p>
    <w:p w14:paraId="4DFEAE5D" w14:textId="77777777" w:rsidR="004E1BBB" w:rsidRPr="00E66B29" w:rsidRDefault="004E1BBB" w:rsidP="004E1BBB">
      <w:pPr>
        <w:spacing w:after="100"/>
        <w:rPr>
          <w:rFonts w:cstheme="minorHAnsi"/>
          <w:szCs w:val="22"/>
          <w:lang w:val="en-GB"/>
        </w:rPr>
      </w:pPr>
      <w:r w:rsidRPr="00E66B29">
        <w:rPr>
          <w:rFonts w:cstheme="minorHAnsi"/>
          <w:szCs w:val="22"/>
          <w:lang w:val="en-GB"/>
        </w:rPr>
        <w:t xml:space="preserve">c </w:t>
      </w:r>
      <w:r w:rsidRPr="00E66B29">
        <w:rPr>
          <w:lang w:val="en-GB"/>
        </w:rPr>
        <w:t>Medical Sociology and Health Policy, University of Antwerp, Antwerp, Belgium.</w:t>
      </w:r>
      <w:r w:rsidRPr="00E66B29">
        <w:rPr>
          <w:rFonts w:cstheme="minorHAnsi"/>
          <w:szCs w:val="22"/>
          <w:lang w:val="en-GB"/>
        </w:rPr>
        <w:t xml:space="preserve"> </w:t>
      </w:r>
    </w:p>
    <w:p w14:paraId="3E740D30" w14:textId="77777777" w:rsidR="004E1BBB" w:rsidRPr="00E66B29" w:rsidRDefault="004E1BBB" w:rsidP="004E1BBB">
      <w:pPr>
        <w:spacing w:after="100"/>
        <w:rPr>
          <w:rFonts w:cstheme="minorHAnsi"/>
          <w:szCs w:val="22"/>
          <w:lang w:val="en-GB"/>
        </w:rPr>
      </w:pPr>
      <w:r w:rsidRPr="00E66B29">
        <w:rPr>
          <w:rFonts w:cstheme="minorHAnsi"/>
          <w:szCs w:val="22"/>
          <w:lang w:val="en-GB"/>
        </w:rPr>
        <w:t xml:space="preserve">d Flemish Institute for Technological Research (VITO), Mol, Belgium. </w:t>
      </w:r>
    </w:p>
    <w:p w14:paraId="052AB765" w14:textId="77777777" w:rsidR="004E1BBB" w:rsidRPr="00E66B29" w:rsidRDefault="004E1BBB" w:rsidP="004E1BBB">
      <w:pPr>
        <w:spacing w:after="100"/>
        <w:rPr>
          <w:rFonts w:cstheme="minorHAnsi"/>
          <w:szCs w:val="22"/>
          <w:vertAlign w:val="superscript"/>
          <w:lang w:val="en-GB"/>
        </w:rPr>
      </w:pPr>
      <w:r w:rsidRPr="00E66B29">
        <w:rPr>
          <w:rFonts w:cstheme="minorHAnsi"/>
          <w:szCs w:val="22"/>
          <w:lang w:val="en-GB"/>
        </w:rPr>
        <w:t>e Belgian Interregional Environment Agency (IRCELINE), Brussels, Belgium.</w:t>
      </w:r>
      <w:r w:rsidRPr="00E66B29">
        <w:rPr>
          <w:rFonts w:cstheme="minorHAnsi"/>
          <w:szCs w:val="22"/>
          <w:vertAlign w:val="superscript"/>
          <w:lang w:val="en-GB"/>
        </w:rPr>
        <w:t xml:space="preserve"> </w:t>
      </w:r>
    </w:p>
    <w:p w14:paraId="52CA3FB5" w14:textId="77777777" w:rsidR="004E1BBB" w:rsidRPr="00E66B29" w:rsidRDefault="004E1BBB" w:rsidP="004E1BBB">
      <w:pPr>
        <w:spacing w:after="100"/>
        <w:rPr>
          <w:rFonts w:cstheme="minorHAnsi"/>
          <w:szCs w:val="22"/>
          <w:lang w:val="en-GB"/>
        </w:rPr>
      </w:pPr>
      <w:r w:rsidRPr="00E66B29">
        <w:rPr>
          <w:rFonts w:cstheme="minorHAnsi"/>
          <w:szCs w:val="22"/>
          <w:lang w:val="en-GB"/>
        </w:rPr>
        <w:t xml:space="preserve">f Health Inequalities Research Group – Employment Conditions Network (GREDS-EMCONET), </w:t>
      </w:r>
      <w:proofErr w:type="spellStart"/>
      <w:r w:rsidRPr="00E66B29">
        <w:rPr>
          <w:rFonts w:cstheme="minorHAnsi"/>
          <w:szCs w:val="22"/>
          <w:lang w:val="en-GB"/>
        </w:rPr>
        <w:t>Pompeu</w:t>
      </w:r>
      <w:proofErr w:type="spellEnd"/>
      <w:r w:rsidRPr="00E66B29">
        <w:rPr>
          <w:rFonts w:cstheme="minorHAnsi"/>
          <w:szCs w:val="22"/>
          <w:lang w:val="en-GB"/>
        </w:rPr>
        <w:t xml:space="preserve"> </w:t>
      </w:r>
      <w:proofErr w:type="spellStart"/>
      <w:r w:rsidRPr="00E66B29">
        <w:rPr>
          <w:rFonts w:cstheme="minorHAnsi"/>
          <w:szCs w:val="22"/>
          <w:lang w:val="en-GB"/>
        </w:rPr>
        <w:t>Fabra</w:t>
      </w:r>
      <w:proofErr w:type="spellEnd"/>
      <w:r w:rsidRPr="00E66B29">
        <w:rPr>
          <w:rFonts w:cstheme="minorHAnsi"/>
          <w:szCs w:val="22"/>
          <w:lang w:val="en-GB"/>
        </w:rPr>
        <w:t xml:space="preserve"> University, Barcelona, Spain.</w:t>
      </w:r>
    </w:p>
    <w:bookmarkEnd w:id="0"/>
    <w:p w14:paraId="33FAEE6D" w14:textId="77777777" w:rsidR="004E1BBB" w:rsidRDefault="004E1BBB" w:rsidP="004E1BBB">
      <w:pPr>
        <w:rPr>
          <w:lang w:val="en-GB"/>
        </w:rPr>
      </w:pPr>
    </w:p>
    <w:p w14:paraId="4FB8246D" w14:textId="77777777" w:rsidR="002651CC" w:rsidRPr="00E66B29" w:rsidRDefault="002651CC" w:rsidP="002651CC">
      <w:pPr>
        <w:rPr>
          <w:lang w:val="en-GB"/>
        </w:rPr>
      </w:pPr>
      <w:r w:rsidRPr="00E66B29">
        <w:rPr>
          <w:lang w:val="en-GB"/>
        </w:rPr>
        <w:t>* Corresponding author:</w:t>
      </w:r>
    </w:p>
    <w:p w14:paraId="665A37E5" w14:textId="77777777" w:rsidR="002651CC" w:rsidRPr="00E66B29" w:rsidRDefault="002651CC" w:rsidP="002651CC">
      <w:pPr>
        <w:rPr>
          <w:lang w:val="en-GB"/>
        </w:rPr>
      </w:pPr>
      <w:r w:rsidRPr="00E66B29">
        <w:rPr>
          <w:lang w:val="en-GB"/>
        </w:rPr>
        <w:t xml:space="preserve">Lucía Rodríguez Loureiro </w:t>
      </w:r>
    </w:p>
    <w:p w14:paraId="2E1F4547" w14:textId="77777777" w:rsidR="002651CC" w:rsidRPr="00E66B29" w:rsidRDefault="002651CC" w:rsidP="002651CC">
      <w:pPr>
        <w:rPr>
          <w:lang w:val="en-GB"/>
        </w:rPr>
      </w:pPr>
      <w:r w:rsidRPr="00E66B29">
        <w:rPr>
          <w:lang w:val="en-GB"/>
        </w:rPr>
        <w:t xml:space="preserve">Interface Demography, Department of Sociology </w:t>
      </w:r>
    </w:p>
    <w:p w14:paraId="00B17CA7" w14:textId="77777777" w:rsidR="002651CC" w:rsidRPr="002651CC" w:rsidRDefault="002651CC" w:rsidP="002651CC">
      <w:pPr>
        <w:rPr>
          <w:lang w:val="fr-FR"/>
        </w:rPr>
      </w:pPr>
      <w:proofErr w:type="spellStart"/>
      <w:r w:rsidRPr="002651CC">
        <w:rPr>
          <w:lang w:val="fr-FR"/>
        </w:rPr>
        <w:t>Vrije</w:t>
      </w:r>
      <w:proofErr w:type="spellEnd"/>
      <w:r w:rsidRPr="002651CC">
        <w:rPr>
          <w:lang w:val="fr-FR"/>
        </w:rPr>
        <w:t xml:space="preserve"> </w:t>
      </w:r>
      <w:proofErr w:type="spellStart"/>
      <w:r w:rsidRPr="002651CC">
        <w:rPr>
          <w:lang w:val="fr-FR"/>
        </w:rPr>
        <w:t>Universiteit</w:t>
      </w:r>
      <w:proofErr w:type="spellEnd"/>
      <w:r w:rsidRPr="002651CC">
        <w:rPr>
          <w:lang w:val="fr-FR"/>
        </w:rPr>
        <w:t xml:space="preserve"> Brussel</w:t>
      </w:r>
    </w:p>
    <w:p w14:paraId="3407CD90" w14:textId="77777777" w:rsidR="002651CC" w:rsidRPr="00FB59AC" w:rsidRDefault="002651CC" w:rsidP="002651CC">
      <w:pPr>
        <w:rPr>
          <w:lang w:val="fr-FR"/>
        </w:rPr>
      </w:pPr>
      <w:proofErr w:type="spellStart"/>
      <w:r w:rsidRPr="00FB59AC">
        <w:rPr>
          <w:lang w:val="fr-FR"/>
        </w:rPr>
        <w:t>Pleinlaan</w:t>
      </w:r>
      <w:proofErr w:type="spellEnd"/>
      <w:r w:rsidRPr="00FB59AC">
        <w:rPr>
          <w:lang w:val="fr-FR"/>
        </w:rPr>
        <w:t xml:space="preserve"> 2, 1050, Brussels (</w:t>
      </w:r>
      <w:proofErr w:type="spellStart"/>
      <w:r w:rsidRPr="00FB59AC">
        <w:rPr>
          <w:lang w:val="fr-FR"/>
        </w:rPr>
        <w:t>Belgium</w:t>
      </w:r>
      <w:proofErr w:type="spellEnd"/>
      <w:r w:rsidRPr="00FB59AC">
        <w:rPr>
          <w:lang w:val="fr-FR"/>
        </w:rPr>
        <w:t>)</w:t>
      </w:r>
    </w:p>
    <w:p w14:paraId="2A65DE50" w14:textId="77777777" w:rsidR="002651CC" w:rsidRPr="00C270BC" w:rsidRDefault="002651CC" w:rsidP="002651CC">
      <w:pPr>
        <w:rPr>
          <w:lang w:val="fr-FR"/>
        </w:rPr>
      </w:pPr>
      <w:proofErr w:type="gramStart"/>
      <w:r w:rsidRPr="00C270BC">
        <w:rPr>
          <w:lang w:val="fr-FR"/>
        </w:rPr>
        <w:t>Email</w:t>
      </w:r>
      <w:proofErr w:type="gramEnd"/>
      <w:r w:rsidRPr="00C270BC">
        <w:rPr>
          <w:lang w:val="fr-FR"/>
        </w:rPr>
        <w:t xml:space="preserve"> : </w:t>
      </w:r>
      <w:hyperlink r:id="rId11" w:history="1">
        <w:r w:rsidRPr="00C270BC">
          <w:rPr>
            <w:rStyle w:val="Hyperlink"/>
            <w:lang w:val="fr-FR"/>
          </w:rPr>
          <w:t>lucia.rodriguez.loureiro@vub.be</w:t>
        </w:r>
      </w:hyperlink>
      <w:r w:rsidRPr="00C270BC">
        <w:rPr>
          <w:lang w:val="fr-FR"/>
        </w:rPr>
        <w:t xml:space="preserve"> </w:t>
      </w:r>
    </w:p>
    <w:p w14:paraId="48C8858C" w14:textId="77777777" w:rsidR="002651CC" w:rsidRDefault="002651CC" w:rsidP="004E1BBB">
      <w:pPr>
        <w:rPr>
          <w:lang w:val="en-GB"/>
        </w:rPr>
      </w:pPr>
    </w:p>
    <w:p w14:paraId="4F0F5826" w14:textId="106E2E23" w:rsidR="0059560F" w:rsidRDefault="0059560F" w:rsidP="004E1BBB">
      <w:pPr>
        <w:rPr>
          <w:lang w:val="en-GB"/>
        </w:rPr>
      </w:pPr>
      <w:r>
        <w:rPr>
          <w:lang w:val="en-GB"/>
        </w:rPr>
        <w:t>Received Date: 28 September 2020</w:t>
      </w:r>
    </w:p>
    <w:p w14:paraId="2DE88FD9" w14:textId="728F37AE" w:rsidR="0059560F" w:rsidRDefault="00FA0387" w:rsidP="004E1BBB">
      <w:pPr>
        <w:rPr>
          <w:lang w:val="en-GB"/>
        </w:rPr>
      </w:pPr>
      <w:r>
        <w:rPr>
          <w:lang w:val="en-GB"/>
        </w:rPr>
        <w:t>Received in Revised Form: 7 May 2021</w:t>
      </w:r>
    </w:p>
    <w:p w14:paraId="7C3669F0" w14:textId="6D8FED1D" w:rsidR="00FA0387" w:rsidRDefault="00FA0387" w:rsidP="004E1BBB">
      <w:pPr>
        <w:rPr>
          <w:lang w:val="en-GB"/>
        </w:rPr>
      </w:pPr>
      <w:r>
        <w:rPr>
          <w:lang w:val="en-GB"/>
        </w:rPr>
        <w:t>Accepted: 2 June 2021</w:t>
      </w:r>
    </w:p>
    <w:p w14:paraId="1DD978E9" w14:textId="3D9D218D" w:rsidR="00FA0387" w:rsidRDefault="00FA0387" w:rsidP="004E1BBB">
      <w:pPr>
        <w:rPr>
          <w:lang w:val="en-GB"/>
        </w:rPr>
      </w:pPr>
      <w:r>
        <w:rPr>
          <w:lang w:val="en-GB"/>
        </w:rPr>
        <w:t>Available Online:</w:t>
      </w:r>
      <w:r w:rsidR="00043824">
        <w:rPr>
          <w:lang w:val="en-GB"/>
        </w:rPr>
        <w:t xml:space="preserve"> 21 June 2021</w:t>
      </w:r>
    </w:p>
    <w:p w14:paraId="7BA5F750" w14:textId="77777777" w:rsidR="0059560F" w:rsidRDefault="0059560F" w:rsidP="004E1BBB">
      <w:pPr>
        <w:rPr>
          <w:lang w:val="en-GB"/>
        </w:rPr>
      </w:pPr>
    </w:p>
    <w:p w14:paraId="156712A4" w14:textId="0B32874A" w:rsidR="004E1BBB" w:rsidRPr="002651CC" w:rsidRDefault="005E793D" w:rsidP="004E1BBB">
      <w:pPr>
        <w:rPr>
          <w:lang w:val="en-BE"/>
        </w:rPr>
      </w:pPr>
      <w:r w:rsidRPr="005E793D">
        <w:rPr>
          <w:lang w:val="en-BE"/>
        </w:rPr>
        <w:t xml:space="preserve">This article has been accepted for publication and undergone full peer review but has not been through the copyediting, typesetting, pagination and proofreading process, which may lead to differences between this version and the </w:t>
      </w:r>
      <w:r w:rsidR="001E0534">
        <w:t>published version</w:t>
      </w:r>
      <w:r w:rsidR="002651CC">
        <w:t xml:space="preserve"> in the journal</w:t>
      </w:r>
      <w:r w:rsidRPr="005E793D">
        <w:rPr>
          <w:lang w:val="en-BE"/>
        </w:rPr>
        <w:t>.</w:t>
      </w:r>
      <w:r w:rsidR="002651CC">
        <w:t xml:space="preserve"> </w:t>
      </w:r>
      <w:r w:rsidR="00727EC3">
        <w:rPr>
          <w:lang w:val="en-GB"/>
        </w:rPr>
        <w:t xml:space="preserve">Please cite this article as: </w:t>
      </w:r>
      <w:hyperlink r:id="rId12" w:history="1">
        <w:r w:rsidR="00DF0379" w:rsidRPr="00262F47">
          <w:rPr>
            <w:rStyle w:val="Hyperlink"/>
            <w:lang w:val="en-GB"/>
          </w:rPr>
          <w:t>https://doi.org/10.1016/j.healthplace.2021.102603</w:t>
        </w:r>
      </w:hyperlink>
      <w:r w:rsidR="00DF0379">
        <w:rPr>
          <w:lang w:val="en-GB"/>
        </w:rPr>
        <w:t xml:space="preserve"> </w:t>
      </w:r>
    </w:p>
    <w:p w14:paraId="2E42E9EE" w14:textId="77777777" w:rsidR="004E1BBB" w:rsidRPr="002651CC" w:rsidRDefault="004E1BBB" w:rsidP="004E1BBB"/>
    <w:p w14:paraId="58152CD2" w14:textId="77777777" w:rsidR="004E1BBB" w:rsidRPr="00E66B29" w:rsidRDefault="004E1BBB" w:rsidP="004E1BBB">
      <w:pPr>
        <w:spacing w:before="120" w:after="60"/>
        <w:rPr>
          <w:b/>
          <w:bCs/>
          <w:lang w:val="en-GB"/>
        </w:rPr>
      </w:pPr>
      <w:r w:rsidRPr="00E66B29">
        <w:rPr>
          <w:lang w:val="en-GB"/>
        </w:rPr>
        <w:t>Funding:</w:t>
      </w:r>
      <w:r w:rsidRPr="00E66B29">
        <w:rPr>
          <w:b/>
          <w:bCs/>
          <w:lang w:val="en-GB"/>
        </w:rPr>
        <w:t xml:space="preserve"> </w:t>
      </w:r>
    </w:p>
    <w:p w14:paraId="3F655A91" w14:textId="77777777" w:rsidR="004E1BBB" w:rsidRPr="00E66B29" w:rsidRDefault="004E1BBB" w:rsidP="004E1BBB">
      <w:pPr>
        <w:spacing w:before="120" w:after="60"/>
        <w:rPr>
          <w:sz w:val="24"/>
          <w:szCs w:val="26"/>
          <w:lang w:val="en-GB"/>
        </w:rPr>
      </w:pPr>
      <w:r w:rsidRPr="00E66B29">
        <w:rPr>
          <w:lang w:val="en-GB"/>
        </w:rPr>
        <w:t xml:space="preserve">Lucía Rodríguez Loureiro is funded by the Brussels Institute for Research and Innovation (INNOVIRIS), project number: </w:t>
      </w:r>
      <w:r w:rsidRPr="00E66B29">
        <w:rPr>
          <w:rFonts w:ascii="Calibri" w:hAnsi="Calibri"/>
          <w:bCs/>
          <w:color w:val="000000"/>
          <w:lang w:val="en-GB"/>
        </w:rPr>
        <w:t>2019-ANTICIPATE-26100.</w:t>
      </w:r>
      <w:r w:rsidRPr="00E66B29">
        <w:rPr>
          <w:lang w:val="en-GB"/>
        </w:rPr>
        <w:t xml:space="preserve"> Lidia Casas is recipient of a post-doctoral fellowship of the Research Foundation Flanders (FWO), grant number 12I1517N. Mariska </w:t>
      </w:r>
      <w:proofErr w:type="spellStart"/>
      <w:r w:rsidRPr="00E66B29">
        <w:rPr>
          <w:lang w:val="en-GB"/>
        </w:rPr>
        <w:t>Bauwelinck</w:t>
      </w:r>
      <w:proofErr w:type="spellEnd"/>
      <w:r w:rsidRPr="00E66B29">
        <w:rPr>
          <w:lang w:val="en-GB"/>
        </w:rPr>
        <w:t xml:space="preserve"> is funded by an individual PhD grant supported by the Research Foundation-Flanders (FWO) (grant number 11A9718N).</w:t>
      </w:r>
    </w:p>
    <w:p w14:paraId="2E504432" w14:textId="77777777" w:rsidR="004E1BBB" w:rsidRPr="00E66B29" w:rsidRDefault="004E1BBB" w:rsidP="004E1BBB">
      <w:pPr>
        <w:spacing w:before="120" w:after="60"/>
        <w:rPr>
          <w:b/>
          <w:bCs/>
          <w:sz w:val="24"/>
          <w:szCs w:val="26"/>
          <w:lang w:val="en-GB"/>
        </w:rPr>
      </w:pPr>
    </w:p>
    <w:p w14:paraId="5854EBA2" w14:textId="77777777" w:rsidR="004E1BBB" w:rsidRPr="00E66B29" w:rsidRDefault="004E1BBB" w:rsidP="004E1BBB">
      <w:pPr>
        <w:spacing w:before="120" w:after="60"/>
        <w:rPr>
          <w:b/>
          <w:bCs/>
          <w:lang w:val="en-GB"/>
        </w:rPr>
      </w:pPr>
      <w:r w:rsidRPr="00E66B29">
        <w:rPr>
          <w:lang w:val="en-GB"/>
        </w:rPr>
        <w:t>Competing interests:</w:t>
      </w:r>
      <w:r w:rsidRPr="00E66B29">
        <w:rPr>
          <w:b/>
          <w:bCs/>
          <w:lang w:val="en-GB"/>
        </w:rPr>
        <w:t xml:space="preserve"> </w:t>
      </w:r>
    </w:p>
    <w:p w14:paraId="4CE08BE7" w14:textId="77777777" w:rsidR="004E1BBB" w:rsidRPr="00E66B29" w:rsidRDefault="004E1BBB" w:rsidP="004E1BBB">
      <w:pPr>
        <w:spacing w:before="120" w:after="60"/>
        <w:rPr>
          <w:sz w:val="24"/>
          <w:szCs w:val="26"/>
          <w:lang w:val="en-GB"/>
        </w:rPr>
      </w:pPr>
      <w:r w:rsidRPr="00E66B29">
        <w:rPr>
          <w:lang w:val="en-GB"/>
        </w:rPr>
        <w:t>None.</w:t>
      </w:r>
    </w:p>
    <w:p w14:paraId="5D6405E4" w14:textId="77777777" w:rsidR="004E1BBB" w:rsidRPr="00E66B29" w:rsidRDefault="004E1BBB" w:rsidP="004E1BBB">
      <w:pPr>
        <w:spacing w:before="120" w:after="60"/>
        <w:rPr>
          <w:lang w:val="en-GB"/>
        </w:rPr>
      </w:pPr>
    </w:p>
    <w:p w14:paraId="6142E806" w14:textId="77777777" w:rsidR="004E1BBB" w:rsidRPr="00E66B29" w:rsidRDefault="004E1BBB" w:rsidP="004E1BBB">
      <w:pPr>
        <w:spacing w:before="120" w:after="60"/>
        <w:rPr>
          <w:lang w:val="en-GB"/>
        </w:rPr>
      </w:pPr>
      <w:r w:rsidRPr="00E66B29">
        <w:rPr>
          <w:lang w:val="en-GB"/>
        </w:rPr>
        <w:t>Acknowledgements:</w:t>
      </w:r>
    </w:p>
    <w:p w14:paraId="5ECC131B" w14:textId="77777777" w:rsidR="004E1BBB" w:rsidRPr="00E66B29" w:rsidRDefault="004E1BBB" w:rsidP="004E1BBB">
      <w:pPr>
        <w:spacing w:before="120" w:after="60"/>
        <w:rPr>
          <w:lang w:val="en-GB"/>
        </w:rPr>
      </w:pPr>
      <w:r w:rsidRPr="00E66B29">
        <w:rPr>
          <w:lang w:val="en-GB"/>
        </w:rPr>
        <w:t xml:space="preserve">The authors acknowledge Thomas </w:t>
      </w:r>
      <w:proofErr w:type="spellStart"/>
      <w:r w:rsidRPr="00E66B29">
        <w:rPr>
          <w:lang w:val="en-GB"/>
        </w:rPr>
        <w:t>Styns</w:t>
      </w:r>
      <w:proofErr w:type="spellEnd"/>
      <w:r w:rsidRPr="00E66B29">
        <w:rPr>
          <w:lang w:val="en-GB"/>
        </w:rPr>
        <w:t xml:space="preserve"> and Marie </w:t>
      </w:r>
      <w:proofErr w:type="spellStart"/>
      <w:r w:rsidRPr="00E66B29">
        <w:rPr>
          <w:lang w:val="en-GB"/>
        </w:rPr>
        <w:t>Poupé</w:t>
      </w:r>
      <w:proofErr w:type="spellEnd"/>
      <w:r w:rsidRPr="00E66B29">
        <w:rPr>
          <w:lang w:val="en-GB"/>
        </w:rPr>
        <w:t xml:space="preserve"> from Brussels Environment (</w:t>
      </w:r>
      <w:proofErr w:type="spellStart"/>
      <w:r w:rsidRPr="00E66B29">
        <w:rPr>
          <w:lang w:val="en-GB"/>
        </w:rPr>
        <w:t>Leefmilieu</w:t>
      </w:r>
      <w:proofErr w:type="spellEnd"/>
      <w:r w:rsidRPr="00E66B29">
        <w:rPr>
          <w:lang w:val="en-GB"/>
        </w:rPr>
        <w:t xml:space="preserve"> Brussel) for providing the noise pollution data, and Charlotte Noël from Interface Demography for her insightful inputs throughout the writing process.</w:t>
      </w:r>
      <w:r>
        <w:rPr>
          <w:lang w:val="en-GB"/>
        </w:rPr>
        <w:t xml:space="preserve"> The resources and services used in this work were provided by the VSC (Flemish Supercomputer Centre), funded by the Research Foundation – Flanders (FWO) and the Flemish Government.</w:t>
      </w:r>
    </w:p>
    <w:p w14:paraId="010CC3F8" w14:textId="77777777" w:rsidR="00DF0379" w:rsidRDefault="00DF0379" w:rsidP="0030341E">
      <w:pPr>
        <w:pStyle w:val="Heading2"/>
        <w:rPr>
          <w:rFonts w:cstheme="minorHAnsi"/>
          <w:bCs/>
        </w:rPr>
      </w:pPr>
      <w:r>
        <w:rPr>
          <w:rFonts w:cstheme="minorHAnsi"/>
          <w:bCs/>
        </w:rPr>
        <w:br w:type="page"/>
      </w:r>
    </w:p>
    <w:p w14:paraId="5FC1CA18" w14:textId="7D45FD21" w:rsidR="0030341E" w:rsidRPr="0030341E" w:rsidRDefault="0030341E" w:rsidP="0030341E">
      <w:pPr>
        <w:pStyle w:val="Heading2"/>
        <w:rPr>
          <w:rFonts w:cstheme="minorHAnsi"/>
          <w:bCs/>
        </w:rPr>
      </w:pPr>
      <w:r w:rsidRPr="0030341E">
        <w:rPr>
          <w:rFonts w:cstheme="minorHAnsi"/>
          <w:bCs/>
        </w:rPr>
        <w:lastRenderedPageBreak/>
        <w:t xml:space="preserve">Social inequalities in the associations </w:t>
      </w:r>
      <w:r w:rsidR="006F1D74">
        <w:rPr>
          <w:rFonts w:cstheme="minorHAnsi"/>
          <w:bCs/>
        </w:rPr>
        <w:t>between</w:t>
      </w:r>
      <w:r w:rsidRPr="0030341E">
        <w:rPr>
          <w:rFonts w:cstheme="minorHAnsi"/>
          <w:bCs/>
        </w:rPr>
        <w:t xml:space="preserve"> urban green spaces</w:t>
      </w:r>
      <w:r w:rsidR="002E2AB6">
        <w:rPr>
          <w:rFonts w:cstheme="minorHAnsi"/>
          <w:bCs/>
        </w:rPr>
        <w:t>,</w:t>
      </w:r>
      <w:r w:rsidRPr="0030341E">
        <w:rPr>
          <w:rFonts w:cstheme="minorHAnsi"/>
          <w:bCs/>
        </w:rPr>
        <w:t xml:space="preserve"> self-perceived health and mortality in Brussels:</w:t>
      </w:r>
      <w:r w:rsidR="009B23B3">
        <w:rPr>
          <w:rFonts w:cstheme="minorHAnsi"/>
          <w:bCs/>
        </w:rPr>
        <w:t xml:space="preserve"> results from</w:t>
      </w:r>
      <w:r w:rsidRPr="0030341E">
        <w:rPr>
          <w:rFonts w:cstheme="minorHAnsi"/>
          <w:bCs/>
        </w:rPr>
        <w:t xml:space="preserve"> a census-based cohort study</w:t>
      </w:r>
    </w:p>
    <w:p w14:paraId="64385F71" w14:textId="77777777" w:rsidR="009908F6" w:rsidRPr="0030341E" w:rsidRDefault="009908F6" w:rsidP="004D6282">
      <w:pPr>
        <w:pStyle w:val="Heading2"/>
      </w:pPr>
    </w:p>
    <w:p w14:paraId="36617A9C" w14:textId="027AC49B" w:rsidR="004C5DC0" w:rsidRPr="00A858D5" w:rsidRDefault="00F46525" w:rsidP="004D6282">
      <w:pPr>
        <w:pStyle w:val="Heading2"/>
        <w:rPr>
          <w:lang w:val="en-GB"/>
        </w:rPr>
      </w:pPr>
      <w:r w:rsidRPr="00A858D5">
        <w:rPr>
          <w:lang w:val="en-GB"/>
        </w:rPr>
        <w:t>Abstract</w:t>
      </w:r>
    </w:p>
    <w:p w14:paraId="65AA5146" w14:textId="7FAA6899" w:rsidR="00DC6356" w:rsidRPr="00A858D5" w:rsidRDefault="00D05F61" w:rsidP="004D6282">
      <w:pPr>
        <w:spacing w:before="120" w:after="60"/>
        <w:rPr>
          <w:lang w:val="en-GB"/>
        </w:rPr>
      </w:pPr>
      <w:r w:rsidRPr="00A858D5">
        <w:rPr>
          <w:lang w:val="en-GB"/>
        </w:rPr>
        <w:t xml:space="preserve">This study </w:t>
      </w:r>
      <w:r w:rsidR="008F7F2F" w:rsidRPr="00A858D5">
        <w:rPr>
          <w:lang w:val="en-GB"/>
        </w:rPr>
        <w:t>examines</w:t>
      </w:r>
      <w:r w:rsidR="00003B84" w:rsidRPr="00A858D5">
        <w:rPr>
          <w:lang w:val="en-GB"/>
        </w:rPr>
        <w:t xml:space="preserve"> the</w:t>
      </w:r>
      <w:r w:rsidR="00E26C0B" w:rsidRPr="00A858D5">
        <w:rPr>
          <w:lang w:val="en-GB"/>
        </w:rPr>
        <w:t xml:space="preserve"> </w:t>
      </w:r>
      <w:r w:rsidR="003A13F2" w:rsidRPr="00A858D5">
        <w:rPr>
          <w:lang w:val="en-GB"/>
        </w:rPr>
        <w:t>associations</w:t>
      </w:r>
      <w:r w:rsidR="00E26C0B" w:rsidRPr="00A858D5">
        <w:rPr>
          <w:lang w:val="en-GB"/>
        </w:rPr>
        <w:t xml:space="preserve"> </w:t>
      </w:r>
      <w:r w:rsidR="00A97CF9" w:rsidRPr="00A858D5">
        <w:rPr>
          <w:lang w:val="en-GB"/>
        </w:rPr>
        <w:t xml:space="preserve">between </w:t>
      </w:r>
      <w:r w:rsidR="00A551FE" w:rsidRPr="00A858D5">
        <w:rPr>
          <w:lang w:val="en-GB"/>
        </w:rPr>
        <w:t xml:space="preserve">residential </w:t>
      </w:r>
      <w:r w:rsidR="00E8064F" w:rsidRPr="00A858D5">
        <w:rPr>
          <w:lang w:val="en-GB"/>
        </w:rPr>
        <w:t>urban green spaces (UGS)</w:t>
      </w:r>
      <w:r w:rsidR="00A551FE" w:rsidRPr="00A858D5" w:rsidDel="001A5DA1">
        <w:rPr>
          <w:lang w:val="en-GB"/>
        </w:rPr>
        <w:t xml:space="preserve"> </w:t>
      </w:r>
      <w:r w:rsidR="00A97CF9" w:rsidRPr="00A858D5">
        <w:rPr>
          <w:lang w:val="en-GB"/>
        </w:rPr>
        <w:t xml:space="preserve">and </w:t>
      </w:r>
      <w:r w:rsidR="000E0A49" w:rsidRPr="00A858D5">
        <w:rPr>
          <w:lang w:val="en-GB"/>
        </w:rPr>
        <w:t>self-perceived health and natural cause mortality</w:t>
      </w:r>
      <w:r w:rsidR="00620C12" w:rsidRPr="00A858D5">
        <w:rPr>
          <w:lang w:val="en-GB"/>
        </w:rPr>
        <w:t>,</w:t>
      </w:r>
      <w:r w:rsidR="000E0A49" w:rsidRPr="00A858D5">
        <w:rPr>
          <w:lang w:val="en-GB"/>
        </w:rPr>
        <w:t xml:space="preserve"> </w:t>
      </w:r>
      <w:r w:rsidR="006319A6" w:rsidRPr="00A858D5">
        <w:rPr>
          <w:lang w:val="en-GB"/>
        </w:rPr>
        <w:t>applying an intersectional approach</w:t>
      </w:r>
      <w:r w:rsidR="0074187B" w:rsidRPr="00A858D5">
        <w:rPr>
          <w:lang w:val="en-GB"/>
        </w:rPr>
        <w:t xml:space="preserve"> </w:t>
      </w:r>
      <w:r w:rsidR="00C43FD5" w:rsidRPr="00A858D5">
        <w:rPr>
          <w:lang w:val="en-GB"/>
        </w:rPr>
        <w:t>across</w:t>
      </w:r>
      <w:r w:rsidR="003426A8" w:rsidRPr="00A858D5">
        <w:rPr>
          <w:lang w:val="en-GB"/>
        </w:rPr>
        <w:t xml:space="preserve"> </w:t>
      </w:r>
      <w:r w:rsidR="008D2AB2" w:rsidRPr="00A858D5">
        <w:rPr>
          <w:lang w:val="en-GB"/>
        </w:rPr>
        <w:t xml:space="preserve">gender, </w:t>
      </w:r>
      <w:r w:rsidR="005B7AB5" w:rsidRPr="00A858D5">
        <w:rPr>
          <w:lang w:val="en-GB"/>
        </w:rPr>
        <w:t xml:space="preserve">education </w:t>
      </w:r>
      <w:r w:rsidR="008D2AB2" w:rsidRPr="00A858D5">
        <w:rPr>
          <w:lang w:val="en-GB"/>
        </w:rPr>
        <w:t>and migrant background</w:t>
      </w:r>
      <w:r w:rsidR="00437873" w:rsidRPr="00A858D5">
        <w:rPr>
          <w:lang w:val="en-GB"/>
        </w:rPr>
        <w:t>.</w:t>
      </w:r>
      <w:r w:rsidRPr="00A858D5">
        <w:rPr>
          <w:lang w:val="en-GB"/>
        </w:rPr>
        <w:t xml:space="preserve"> </w:t>
      </w:r>
      <w:r w:rsidR="00C13822" w:rsidRPr="00A858D5">
        <w:rPr>
          <w:rFonts w:cstheme="minorHAnsi"/>
          <w:lang w:val="en-GB"/>
        </w:rPr>
        <w:t xml:space="preserve">We used data from the 2001 Belgian census linked to </w:t>
      </w:r>
      <w:r w:rsidR="0074187B" w:rsidRPr="00A858D5">
        <w:rPr>
          <w:rFonts w:cstheme="minorHAnsi"/>
          <w:lang w:val="en-GB"/>
        </w:rPr>
        <w:t xml:space="preserve">register data on </w:t>
      </w:r>
      <w:r w:rsidR="00CA1308" w:rsidRPr="00A858D5">
        <w:rPr>
          <w:rFonts w:cstheme="minorHAnsi"/>
          <w:lang w:val="en-GB"/>
        </w:rPr>
        <w:t>e</w:t>
      </w:r>
      <w:r w:rsidR="00C13822" w:rsidRPr="00A858D5">
        <w:rPr>
          <w:rFonts w:cstheme="minorHAnsi"/>
          <w:lang w:val="en-GB"/>
        </w:rPr>
        <w:t xml:space="preserve">migration and mortality </w:t>
      </w:r>
      <w:r w:rsidR="0074187B" w:rsidRPr="00A858D5">
        <w:rPr>
          <w:rFonts w:cstheme="minorHAnsi"/>
          <w:lang w:val="en-GB"/>
        </w:rPr>
        <w:t xml:space="preserve">for the period </w:t>
      </w:r>
      <w:r w:rsidR="00C13822" w:rsidRPr="00A858D5">
        <w:rPr>
          <w:rFonts w:cstheme="minorHAnsi"/>
          <w:lang w:val="en-GB"/>
        </w:rPr>
        <w:t>2001</w:t>
      </w:r>
      <w:r w:rsidR="00D60E56" w:rsidRPr="00A858D5">
        <w:rPr>
          <w:rFonts w:cstheme="minorHAnsi"/>
          <w:lang w:val="en-GB"/>
        </w:rPr>
        <w:t>-</w:t>
      </w:r>
      <w:r w:rsidR="005C4CC5" w:rsidRPr="00A858D5">
        <w:rPr>
          <w:rFonts w:cstheme="minorHAnsi"/>
          <w:lang w:val="en-GB"/>
        </w:rPr>
        <w:t>2014</w:t>
      </w:r>
      <w:r w:rsidR="00520969" w:rsidRPr="00A858D5">
        <w:rPr>
          <w:rFonts w:cstheme="minorHAnsi"/>
          <w:lang w:val="en-GB"/>
        </w:rPr>
        <w:t xml:space="preserve">, including </w:t>
      </w:r>
      <w:r w:rsidR="00686D0A" w:rsidRPr="00A858D5">
        <w:rPr>
          <w:lang w:val="en-GB"/>
        </w:rPr>
        <w:t xml:space="preserve">571,558 </w:t>
      </w:r>
      <w:r w:rsidR="00520969" w:rsidRPr="00A858D5">
        <w:rPr>
          <w:rFonts w:cstheme="minorHAnsi"/>
          <w:lang w:val="en-GB"/>
        </w:rPr>
        <w:t>individuals aged 16-80 residing in Brussels</w:t>
      </w:r>
      <w:r w:rsidR="00AC523F">
        <w:rPr>
          <w:rFonts w:cstheme="minorHAnsi"/>
          <w:lang w:val="en-GB"/>
        </w:rPr>
        <w:t xml:space="preserve"> </w:t>
      </w:r>
      <w:r w:rsidR="00AC523F" w:rsidRPr="00C0054A">
        <w:rPr>
          <w:rFonts w:cstheme="minorHAnsi"/>
          <w:lang w:val="en-GB"/>
        </w:rPr>
        <w:t>(8</w:t>
      </w:r>
      <w:r w:rsidR="0030341E" w:rsidRPr="00C0054A">
        <w:rPr>
          <w:rFonts w:cstheme="minorHAnsi"/>
          <w:lang w:val="en-GB"/>
        </w:rPr>
        <w:t>0</w:t>
      </w:r>
      <w:r w:rsidR="00AC523F" w:rsidRPr="00C0054A">
        <w:rPr>
          <w:rFonts w:cstheme="minorHAnsi"/>
          <w:lang w:val="en-GB"/>
        </w:rPr>
        <w:t>% response rate)</w:t>
      </w:r>
      <w:r w:rsidR="00DE0D4C" w:rsidRPr="00A858D5">
        <w:rPr>
          <w:rFonts w:cstheme="minorHAnsi"/>
          <w:lang w:val="en-GB"/>
        </w:rPr>
        <w:t>.</w:t>
      </w:r>
      <w:r w:rsidR="00893E96" w:rsidRPr="00A858D5">
        <w:rPr>
          <w:rFonts w:cstheme="minorHAnsi"/>
          <w:lang w:val="en-GB"/>
        </w:rPr>
        <w:t xml:space="preserve"> </w:t>
      </w:r>
      <w:r w:rsidR="00407774" w:rsidRPr="00A858D5">
        <w:rPr>
          <w:rFonts w:cstheme="minorHAnsi"/>
          <w:lang w:val="en-GB"/>
        </w:rPr>
        <w:t xml:space="preserve">Residential </w:t>
      </w:r>
      <w:r w:rsidR="00D9377A" w:rsidRPr="00A858D5">
        <w:rPr>
          <w:rFonts w:cstheme="minorHAnsi"/>
          <w:lang w:val="en-GB"/>
        </w:rPr>
        <w:t xml:space="preserve">UGS were assessed with the Normalised Difference Vegetation Index (NDVI) </w:t>
      </w:r>
      <w:r w:rsidR="00407774" w:rsidRPr="00A858D5">
        <w:rPr>
          <w:rFonts w:cstheme="minorHAnsi"/>
          <w:lang w:val="en-GB"/>
        </w:rPr>
        <w:t xml:space="preserve">within </w:t>
      </w:r>
      <w:r w:rsidR="00CA1308" w:rsidRPr="00A858D5">
        <w:rPr>
          <w:rFonts w:cstheme="minorHAnsi"/>
          <w:lang w:val="en-GB"/>
        </w:rPr>
        <w:t xml:space="preserve">a </w:t>
      </w:r>
      <w:r w:rsidR="00407774" w:rsidRPr="00A858D5">
        <w:rPr>
          <w:rFonts w:cstheme="minorHAnsi"/>
          <w:lang w:val="en-GB"/>
        </w:rPr>
        <w:t>300m buffer</w:t>
      </w:r>
      <w:r w:rsidR="00317370" w:rsidRPr="00A858D5">
        <w:rPr>
          <w:rFonts w:cstheme="minorHAnsi"/>
          <w:lang w:val="en-GB"/>
        </w:rPr>
        <w:t xml:space="preserve"> from the residential address</w:t>
      </w:r>
      <w:r w:rsidR="00407774" w:rsidRPr="00A858D5">
        <w:rPr>
          <w:rFonts w:cstheme="minorHAnsi"/>
          <w:lang w:val="en-GB"/>
        </w:rPr>
        <w:t xml:space="preserve"> and perceived neighbo</w:t>
      </w:r>
      <w:r w:rsidR="00F60FC7" w:rsidRPr="00A858D5">
        <w:rPr>
          <w:rFonts w:cstheme="minorHAnsi"/>
          <w:lang w:val="en-GB"/>
        </w:rPr>
        <w:t>u</w:t>
      </w:r>
      <w:r w:rsidR="00407774" w:rsidRPr="00A858D5">
        <w:rPr>
          <w:rFonts w:cstheme="minorHAnsi"/>
          <w:lang w:val="en-GB"/>
        </w:rPr>
        <w:t xml:space="preserve">rhood greenness. </w:t>
      </w:r>
      <w:r w:rsidR="00D9377A" w:rsidRPr="00A858D5">
        <w:rPr>
          <w:rFonts w:cstheme="minorHAnsi"/>
          <w:lang w:val="en-GB"/>
        </w:rPr>
        <w:t>M</w:t>
      </w:r>
      <w:r w:rsidR="00D7579F" w:rsidRPr="00A858D5">
        <w:rPr>
          <w:rFonts w:cstheme="minorHAnsi"/>
          <w:lang w:val="en-GB"/>
        </w:rPr>
        <w:t xml:space="preserve">ultilevel logistic </w:t>
      </w:r>
      <w:r w:rsidR="00876B3E" w:rsidRPr="00A858D5">
        <w:rPr>
          <w:rFonts w:cstheme="minorHAnsi"/>
          <w:lang w:val="en-GB"/>
        </w:rPr>
        <w:t>and Cox proportional hazards regression</w:t>
      </w:r>
      <w:r w:rsidR="00804F63" w:rsidRPr="00A858D5">
        <w:rPr>
          <w:rFonts w:cstheme="minorHAnsi"/>
          <w:lang w:val="en-GB"/>
        </w:rPr>
        <w:t xml:space="preserve"> models</w:t>
      </w:r>
      <w:r w:rsidR="00D7579F" w:rsidRPr="00A858D5">
        <w:rPr>
          <w:rFonts w:cstheme="minorHAnsi"/>
          <w:lang w:val="en-GB"/>
        </w:rPr>
        <w:t xml:space="preserve"> </w:t>
      </w:r>
      <w:r w:rsidR="00D9377A" w:rsidRPr="00A858D5">
        <w:rPr>
          <w:rFonts w:cstheme="minorHAnsi"/>
          <w:lang w:val="en-GB"/>
        </w:rPr>
        <w:t xml:space="preserve">were conducted </w:t>
      </w:r>
      <w:r w:rsidR="002B2F6E" w:rsidRPr="00A858D5">
        <w:rPr>
          <w:rFonts w:cstheme="minorHAnsi"/>
          <w:lang w:val="en-GB"/>
        </w:rPr>
        <w:t>to</w:t>
      </w:r>
      <w:r w:rsidR="008C1ADF" w:rsidRPr="00A858D5">
        <w:rPr>
          <w:rFonts w:cstheme="minorHAnsi"/>
          <w:lang w:val="en-GB"/>
        </w:rPr>
        <w:t xml:space="preserve"> </w:t>
      </w:r>
      <w:r w:rsidR="00B23BCA" w:rsidRPr="00A858D5">
        <w:rPr>
          <w:rFonts w:cstheme="minorHAnsi"/>
          <w:lang w:val="en-GB"/>
        </w:rPr>
        <w:t xml:space="preserve">estimate </w:t>
      </w:r>
      <w:r w:rsidR="0007026E" w:rsidRPr="00A858D5">
        <w:rPr>
          <w:rFonts w:cstheme="minorHAnsi"/>
          <w:lang w:val="en-GB"/>
        </w:rPr>
        <w:t xml:space="preserve">associations </w:t>
      </w:r>
      <w:r w:rsidR="009A7228" w:rsidRPr="00A858D5">
        <w:rPr>
          <w:rFonts w:cstheme="minorHAnsi"/>
          <w:lang w:val="en-GB"/>
        </w:rPr>
        <w:t>between</w:t>
      </w:r>
      <w:r w:rsidR="00767237" w:rsidRPr="00A858D5">
        <w:rPr>
          <w:rFonts w:cstheme="minorHAnsi"/>
          <w:lang w:val="en-GB"/>
        </w:rPr>
        <w:t xml:space="preserve"> UGS </w:t>
      </w:r>
      <w:r w:rsidR="009A7228" w:rsidRPr="00A858D5">
        <w:rPr>
          <w:rFonts w:cstheme="minorHAnsi"/>
          <w:lang w:val="en-GB"/>
        </w:rPr>
        <w:t>and</w:t>
      </w:r>
      <w:r w:rsidR="00B23BCA" w:rsidRPr="00A858D5">
        <w:rPr>
          <w:rFonts w:cstheme="minorHAnsi"/>
          <w:lang w:val="en-GB"/>
        </w:rPr>
        <w:t xml:space="preserve"> </w:t>
      </w:r>
      <w:r w:rsidR="00876B3E" w:rsidRPr="00A858D5">
        <w:rPr>
          <w:rFonts w:cstheme="minorHAnsi"/>
          <w:lang w:val="en-GB"/>
        </w:rPr>
        <w:t xml:space="preserve">poor </w:t>
      </w:r>
      <w:r w:rsidR="001F1302" w:rsidRPr="00A858D5">
        <w:rPr>
          <w:rFonts w:cstheme="minorHAnsi"/>
          <w:lang w:val="en-GB"/>
        </w:rPr>
        <w:t>self-perceived health</w:t>
      </w:r>
      <w:r w:rsidR="00E87087" w:rsidRPr="00A858D5">
        <w:rPr>
          <w:rFonts w:cstheme="minorHAnsi"/>
          <w:lang w:val="en-GB"/>
        </w:rPr>
        <w:t xml:space="preserve"> </w:t>
      </w:r>
      <w:r w:rsidR="00510B9C" w:rsidRPr="00A858D5">
        <w:rPr>
          <w:rFonts w:cstheme="minorHAnsi"/>
          <w:lang w:val="en-GB"/>
        </w:rPr>
        <w:t>at baseline</w:t>
      </w:r>
      <w:r w:rsidR="00D7579F" w:rsidRPr="00A858D5">
        <w:rPr>
          <w:rFonts w:cstheme="minorHAnsi"/>
          <w:lang w:val="en-GB"/>
        </w:rPr>
        <w:t xml:space="preserve"> and </w:t>
      </w:r>
      <w:r w:rsidR="00682D6E" w:rsidRPr="00A858D5">
        <w:rPr>
          <w:rFonts w:cstheme="minorHAnsi"/>
          <w:lang w:val="en-GB"/>
        </w:rPr>
        <w:t>natural cause mortality</w:t>
      </w:r>
      <w:r w:rsidR="00E87087" w:rsidRPr="00A858D5">
        <w:rPr>
          <w:rFonts w:cstheme="minorHAnsi"/>
          <w:lang w:val="en-GB"/>
        </w:rPr>
        <w:t xml:space="preserve"> </w:t>
      </w:r>
      <w:r w:rsidR="000970C8" w:rsidRPr="00A858D5">
        <w:rPr>
          <w:rFonts w:cstheme="minorHAnsi"/>
          <w:lang w:val="en-GB"/>
        </w:rPr>
        <w:t>during follow-up</w:t>
      </w:r>
      <w:r w:rsidR="00006EA1" w:rsidRPr="00A858D5">
        <w:rPr>
          <w:rFonts w:cstheme="minorHAnsi"/>
          <w:lang w:val="en-GB"/>
        </w:rPr>
        <w:t>.</w:t>
      </w:r>
      <w:r w:rsidR="001273B0" w:rsidRPr="00A858D5">
        <w:rPr>
          <w:rFonts w:cstheme="minorHAnsi"/>
          <w:lang w:val="en-GB"/>
        </w:rPr>
        <w:t xml:space="preserve"> </w:t>
      </w:r>
      <w:r w:rsidR="001273B0" w:rsidRPr="00A858D5">
        <w:rPr>
          <w:bCs/>
          <w:lang w:val="en-GB"/>
        </w:rPr>
        <w:t xml:space="preserve">Residential UGS </w:t>
      </w:r>
      <w:r w:rsidR="00BE75F4" w:rsidRPr="00A858D5">
        <w:rPr>
          <w:bCs/>
          <w:lang w:val="en-GB"/>
        </w:rPr>
        <w:t xml:space="preserve">were </w:t>
      </w:r>
      <w:r w:rsidR="002B2F6E" w:rsidRPr="00A858D5">
        <w:rPr>
          <w:bCs/>
          <w:lang w:val="en-GB"/>
        </w:rPr>
        <w:t xml:space="preserve">inversely associated </w:t>
      </w:r>
      <w:r w:rsidR="00A80208" w:rsidRPr="00A858D5">
        <w:rPr>
          <w:bCs/>
          <w:lang w:val="en-GB"/>
        </w:rPr>
        <w:t>with both outcomes</w:t>
      </w:r>
      <w:r w:rsidR="00391BA6" w:rsidRPr="00A858D5">
        <w:rPr>
          <w:bCs/>
          <w:lang w:val="en-GB"/>
        </w:rPr>
        <w:t>, but there were differences between groups</w:t>
      </w:r>
      <w:r w:rsidR="001A2E29" w:rsidRPr="00A858D5">
        <w:rPr>
          <w:bCs/>
          <w:lang w:val="en-GB"/>
        </w:rPr>
        <w:t>.</w:t>
      </w:r>
      <w:r w:rsidR="00F43068" w:rsidRPr="00A858D5">
        <w:rPr>
          <w:bCs/>
          <w:lang w:val="en-GB"/>
        </w:rPr>
        <w:t xml:space="preserve"> </w:t>
      </w:r>
      <w:r w:rsidR="00A5595D" w:rsidRPr="00A858D5">
        <w:rPr>
          <w:bCs/>
          <w:lang w:val="en-GB"/>
        </w:rPr>
        <w:t>T</w:t>
      </w:r>
      <w:r w:rsidR="001D6878" w:rsidRPr="00A858D5">
        <w:rPr>
          <w:lang w:val="en-GB"/>
        </w:rPr>
        <w:t>he strongest</w:t>
      </w:r>
      <w:r w:rsidR="00A5595D" w:rsidRPr="00A858D5">
        <w:rPr>
          <w:lang w:val="en-GB"/>
        </w:rPr>
        <w:t xml:space="preserve"> beneficial</w:t>
      </w:r>
      <w:r w:rsidR="001D6878" w:rsidRPr="00A858D5">
        <w:rPr>
          <w:lang w:val="en-GB"/>
        </w:rPr>
        <w:t xml:space="preserve"> associations</w:t>
      </w:r>
      <w:r w:rsidR="00F846B1" w:rsidRPr="00A858D5">
        <w:rPr>
          <w:lang w:val="en-GB"/>
        </w:rPr>
        <w:t xml:space="preserve"> </w:t>
      </w:r>
      <w:r w:rsidR="00A5595D" w:rsidRPr="00A858D5">
        <w:rPr>
          <w:lang w:val="en-GB"/>
        </w:rPr>
        <w:t xml:space="preserve">among women </w:t>
      </w:r>
      <w:r w:rsidR="00FA02D4" w:rsidRPr="00A858D5">
        <w:rPr>
          <w:lang w:val="en-GB"/>
        </w:rPr>
        <w:t xml:space="preserve">were found in </w:t>
      </w:r>
      <w:r w:rsidR="00A5595D" w:rsidRPr="00A858D5">
        <w:rPr>
          <w:lang w:val="en-GB"/>
        </w:rPr>
        <w:t>the</w:t>
      </w:r>
      <w:r w:rsidR="005A4CCD" w:rsidRPr="00A858D5">
        <w:rPr>
          <w:lang w:val="en-GB"/>
        </w:rPr>
        <w:t xml:space="preserve"> </w:t>
      </w:r>
      <w:r w:rsidR="00FA02D4" w:rsidRPr="00A858D5">
        <w:rPr>
          <w:lang w:val="en-GB"/>
        </w:rPr>
        <w:t>lower</w:t>
      </w:r>
      <w:r w:rsidR="005A4CCD" w:rsidRPr="00A858D5">
        <w:rPr>
          <w:lang w:val="en-GB"/>
        </w:rPr>
        <w:t xml:space="preserve"> </w:t>
      </w:r>
      <w:r w:rsidR="00A5595D" w:rsidRPr="00A858D5">
        <w:rPr>
          <w:lang w:val="en-GB"/>
        </w:rPr>
        <w:t>educated</w:t>
      </w:r>
      <w:r w:rsidR="006441C3" w:rsidRPr="00A858D5">
        <w:rPr>
          <w:lang w:val="en-GB"/>
        </w:rPr>
        <w:t>,</w:t>
      </w:r>
      <w:r w:rsidR="00317370" w:rsidRPr="00A858D5">
        <w:rPr>
          <w:lang w:val="en-GB"/>
        </w:rPr>
        <w:t xml:space="preserve"> regardless of the</w:t>
      </w:r>
      <w:r w:rsidR="00A5595D" w:rsidRPr="00A858D5">
        <w:rPr>
          <w:lang w:val="en-GB"/>
        </w:rPr>
        <w:t>ir</w:t>
      </w:r>
      <w:r w:rsidR="00317370" w:rsidRPr="00A858D5">
        <w:rPr>
          <w:lang w:val="en-GB"/>
        </w:rPr>
        <w:t xml:space="preserve"> migrant background.</w:t>
      </w:r>
      <w:r w:rsidR="00715E30" w:rsidRPr="00A858D5">
        <w:rPr>
          <w:lang w:val="en-GB"/>
        </w:rPr>
        <w:t xml:space="preserve"> </w:t>
      </w:r>
      <w:r w:rsidR="00067013" w:rsidRPr="00A858D5">
        <w:rPr>
          <w:lang w:val="en-GB"/>
        </w:rPr>
        <w:t xml:space="preserve">For </w:t>
      </w:r>
      <w:r w:rsidR="006441C3" w:rsidRPr="00A858D5">
        <w:rPr>
          <w:lang w:val="en-GB"/>
        </w:rPr>
        <w:t xml:space="preserve">men </w:t>
      </w:r>
      <w:r w:rsidR="00777D7D" w:rsidRPr="00A858D5">
        <w:rPr>
          <w:lang w:val="en-GB"/>
        </w:rPr>
        <w:t>th</w:t>
      </w:r>
      <w:r w:rsidR="00CA1308" w:rsidRPr="00A858D5">
        <w:rPr>
          <w:lang w:val="en-GB"/>
        </w:rPr>
        <w:t>e strongest association</w:t>
      </w:r>
      <w:r w:rsidR="00777D7D" w:rsidRPr="00A858D5">
        <w:rPr>
          <w:lang w:val="en-GB"/>
        </w:rPr>
        <w:t xml:space="preserve"> was</w:t>
      </w:r>
      <w:r w:rsidR="0034541D" w:rsidRPr="00A858D5">
        <w:rPr>
          <w:lang w:val="en-GB"/>
        </w:rPr>
        <w:t xml:space="preserve"> found</w:t>
      </w:r>
      <w:r w:rsidR="00777D7D" w:rsidRPr="00A858D5">
        <w:rPr>
          <w:lang w:val="en-GB"/>
        </w:rPr>
        <w:t xml:space="preserve"> in those </w:t>
      </w:r>
      <w:r w:rsidR="00F43068" w:rsidRPr="00A858D5">
        <w:rPr>
          <w:lang w:val="en-GB"/>
        </w:rPr>
        <w:t>with</w:t>
      </w:r>
      <w:r w:rsidR="00302A73" w:rsidRPr="00A858D5">
        <w:rPr>
          <w:lang w:val="en-GB"/>
        </w:rPr>
        <w:t xml:space="preserve"> tertiary </w:t>
      </w:r>
      <w:r w:rsidR="00F43068" w:rsidRPr="00A858D5">
        <w:rPr>
          <w:lang w:val="en-GB"/>
        </w:rPr>
        <w:t>education</w:t>
      </w:r>
      <w:r w:rsidR="00067013" w:rsidRPr="00A858D5">
        <w:rPr>
          <w:lang w:val="en-GB"/>
        </w:rPr>
        <w:t xml:space="preserve"> </w:t>
      </w:r>
      <w:r w:rsidR="00390948" w:rsidRPr="00A858D5">
        <w:rPr>
          <w:lang w:val="en-GB"/>
        </w:rPr>
        <w:t>and</w:t>
      </w:r>
      <w:r w:rsidR="00067013" w:rsidRPr="00A858D5">
        <w:rPr>
          <w:lang w:val="en-GB"/>
        </w:rPr>
        <w:t xml:space="preserve"> Belgi</w:t>
      </w:r>
      <w:r w:rsidR="00390948" w:rsidRPr="00A858D5">
        <w:rPr>
          <w:lang w:val="en-GB"/>
        </w:rPr>
        <w:t>an origin</w:t>
      </w:r>
      <w:r w:rsidR="00715E30" w:rsidRPr="00A858D5">
        <w:rPr>
          <w:lang w:val="en-GB"/>
        </w:rPr>
        <w:t>.</w:t>
      </w:r>
      <w:r w:rsidR="00067013" w:rsidRPr="00A858D5">
        <w:rPr>
          <w:lang w:val="en-GB"/>
        </w:rPr>
        <w:t xml:space="preserve"> No significant beneficial associations were found </w:t>
      </w:r>
      <w:r w:rsidR="00A5595D" w:rsidRPr="00A858D5">
        <w:rPr>
          <w:lang w:val="en-GB"/>
        </w:rPr>
        <w:t>in</w:t>
      </w:r>
      <w:r w:rsidR="00067013" w:rsidRPr="00A858D5">
        <w:rPr>
          <w:lang w:val="en-GB"/>
        </w:rPr>
        <w:t xml:space="preserve"> </w:t>
      </w:r>
      <w:r w:rsidR="00390948" w:rsidRPr="00A858D5">
        <w:rPr>
          <w:lang w:val="en-GB"/>
        </w:rPr>
        <w:t>men originating from low and middle-income countries. Applying an intersectionality approach is crucial to understand health inequalities related to UGS exposure. Further research in different geographical contexts is needed to contrast our findings.</w:t>
      </w:r>
    </w:p>
    <w:p w14:paraId="3547F944" w14:textId="7BB8B266" w:rsidR="00F46525" w:rsidRPr="00A858D5" w:rsidRDefault="00F46525" w:rsidP="004D6282">
      <w:pPr>
        <w:spacing w:before="120" w:after="60"/>
        <w:rPr>
          <w:lang w:val="en-GB"/>
        </w:rPr>
      </w:pPr>
    </w:p>
    <w:p w14:paraId="7295D442" w14:textId="6E3C3DE7" w:rsidR="00AC1647" w:rsidRPr="00A858D5" w:rsidRDefault="00AC1647" w:rsidP="004D6282">
      <w:pPr>
        <w:pStyle w:val="Heading2"/>
        <w:rPr>
          <w:lang w:val="en-GB"/>
        </w:rPr>
      </w:pPr>
      <w:r w:rsidRPr="00A858D5">
        <w:rPr>
          <w:lang w:val="en-GB"/>
        </w:rPr>
        <w:t>Keywords</w:t>
      </w:r>
    </w:p>
    <w:p w14:paraId="47B07533" w14:textId="0E1DE7FE" w:rsidR="000B0778" w:rsidRPr="00A858D5" w:rsidRDefault="000C11E6" w:rsidP="004D6282">
      <w:pPr>
        <w:spacing w:before="120" w:after="60"/>
        <w:rPr>
          <w:lang w:val="en-GB"/>
        </w:rPr>
      </w:pPr>
      <w:r w:rsidRPr="00A858D5">
        <w:rPr>
          <w:lang w:val="en-GB"/>
        </w:rPr>
        <w:t>Green space; Built Environment; Self-perceived health; Mortality; Health inequalities.</w:t>
      </w:r>
    </w:p>
    <w:p w14:paraId="2C59C647" w14:textId="0B1864D1" w:rsidR="000C11E6" w:rsidRPr="00A858D5" w:rsidRDefault="000C11E6" w:rsidP="004D6282">
      <w:pPr>
        <w:spacing w:before="120" w:after="60"/>
        <w:rPr>
          <w:lang w:val="en-GB"/>
        </w:rPr>
      </w:pPr>
    </w:p>
    <w:p w14:paraId="3CD9DAC0" w14:textId="77777777" w:rsidR="00C263CF" w:rsidRPr="00A858D5" w:rsidRDefault="00C263CF" w:rsidP="00C263CF">
      <w:pPr>
        <w:rPr>
          <w:lang w:val="en-GB"/>
        </w:rPr>
      </w:pPr>
    </w:p>
    <w:p w14:paraId="68B52CB7" w14:textId="77777777" w:rsidR="00C263CF" w:rsidRPr="00A858D5" w:rsidRDefault="00C263CF" w:rsidP="00F46525">
      <w:pPr>
        <w:rPr>
          <w:sz w:val="24"/>
          <w:szCs w:val="26"/>
          <w:lang w:val="en-GB"/>
        </w:rPr>
      </w:pPr>
    </w:p>
    <w:p w14:paraId="0341E1B6" w14:textId="0CA9C9F3" w:rsidR="00C263CF" w:rsidRPr="00A858D5" w:rsidRDefault="00C263CF" w:rsidP="00F46525">
      <w:pPr>
        <w:rPr>
          <w:sz w:val="24"/>
          <w:szCs w:val="26"/>
          <w:lang w:val="en-GB"/>
        </w:rPr>
        <w:sectPr w:rsidR="00C263CF" w:rsidRPr="00A858D5" w:rsidSect="0012127E">
          <w:headerReference w:type="even" r:id="rId13"/>
          <w:headerReference w:type="default" r:id="rId14"/>
          <w:footerReference w:type="even" r:id="rId15"/>
          <w:footerReference w:type="default" r:id="rId16"/>
          <w:headerReference w:type="first" r:id="rId17"/>
          <w:pgSz w:w="11900" w:h="16840"/>
          <w:pgMar w:top="1440" w:right="1440" w:bottom="1440" w:left="1440" w:header="708" w:footer="708" w:gutter="0"/>
          <w:cols w:space="708"/>
          <w:docGrid w:linePitch="360"/>
        </w:sectPr>
      </w:pPr>
    </w:p>
    <w:p w14:paraId="76C51132" w14:textId="67BE1BEB" w:rsidR="001F70F4" w:rsidRPr="00A858D5" w:rsidRDefault="00E127F7" w:rsidP="00A60805">
      <w:pPr>
        <w:pStyle w:val="Heading1"/>
        <w:numPr>
          <w:ilvl w:val="0"/>
          <w:numId w:val="2"/>
        </w:numPr>
        <w:rPr>
          <w:lang w:val="en-GB"/>
        </w:rPr>
      </w:pPr>
      <w:r w:rsidRPr="00A858D5">
        <w:rPr>
          <w:lang w:val="en-GB"/>
        </w:rPr>
        <w:lastRenderedPageBreak/>
        <w:t>Introduction</w:t>
      </w:r>
    </w:p>
    <w:p w14:paraId="438E6E3C" w14:textId="1FE4A484" w:rsidR="00256A18" w:rsidRPr="00A858D5" w:rsidRDefault="00B34A07" w:rsidP="00F83D4A">
      <w:pPr>
        <w:rPr>
          <w:lang w:val="en-GB"/>
        </w:rPr>
      </w:pPr>
      <w:r w:rsidRPr="00A858D5">
        <w:rPr>
          <w:lang w:val="en-GB"/>
        </w:rPr>
        <w:t>G</w:t>
      </w:r>
      <w:r w:rsidR="002074E6" w:rsidRPr="00A858D5">
        <w:rPr>
          <w:lang w:val="en-GB"/>
        </w:rPr>
        <w:t xml:space="preserve">reening strategies have been </w:t>
      </w:r>
      <w:r w:rsidR="001D2318" w:rsidRPr="00A858D5">
        <w:rPr>
          <w:lang w:val="en-GB"/>
        </w:rPr>
        <w:t xml:space="preserve">put forward </w:t>
      </w:r>
      <w:r w:rsidR="002074E6" w:rsidRPr="00A858D5">
        <w:rPr>
          <w:lang w:val="en-GB"/>
        </w:rPr>
        <w:t xml:space="preserve">as potential solutions </w:t>
      </w:r>
      <w:r w:rsidR="00905C64" w:rsidRPr="00A858D5">
        <w:rPr>
          <w:lang w:val="en-GB"/>
        </w:rPr>
        <w:t xml:space="preserve">for </w:t>
      </w:r>
      <w:r w:rsidR="002074E6" w:rsidRPr="00A858D5">
        <w:rPr>
          <w:lang w:val="en-GB"/>
        </w:rPr>
        <w:t>guarantee</w:t>
      </w:r>
      <w:r w:rsidR="00905C64" w:rsidRPr="00A858D5">
        <w:rPr>
          <w:lang w:val="en-GB"/>
        </w:rPr>
        <w:t>ing</w:t>
      </w:r>
      <w:r w:rsidR="002074E6" w:rsidRPr="00A858D5">
        <w:rPr>
          <w:lang w:val="en-GB"/>
        </w:rPr>
        <w:t xml:space="preserve"> sustainability</w:t>
      </w:r>
      <w:r w:rsidR="004A7B28" w:rsidRPr="00A858D5">
        <w:rPr>
          <w:lang w:val="en-GB"/>
        </w:rPr>
        <w:t xml:space="preserve"> and inclusiv</w:t>
      </w:r>
      <w:r w:rsidR="00905C64" w:rsidRPr="00A858D5">
        <w:rPr>
          <w:lang w:val="en-GB"/>
        </w:rPr>
        <w:t>ity</w:t>
      </w:r>
      <w:r w:rsidR="004A7B28" w:rsidRPr="00A858D5">
        <w:rPr>
          <w:lang w:val="en-GB"/>
        </w:rPr>
        <w:t xml:space="preserve"> </w:t>
      </w:r>
      <w:r w:rsidR="00905C64" w:rsidRPr="00A858D5">
        <w:rPr>
          <w:lang w:val="en-GB"/>
        </w:rPr>
        <w:t xml:space="preserve">in cities </w:t>
      </w:r>
      <w:r w:rsidR="002074E6" w:rsidRPr="00A858D5">
        <w:rPr>
          <w:lang w:val="en-GB"/>
        </w:rPr>
        <w:t xml:space="preserve">in the </w:t>
      </w:r>
      <w:r w:rsidR="00905C64" w:rsidRPr="00A858D5">
        <w:rPr>
          <w:lang w:val="en-GB"/>
        </w:rPr>
        <w:t xml:space="preserve">light of ongoing </w:t>
      </w:r>
      <w:r w:rsidR="002074E6" w:rsidRPr="00A858D5">
        <w:rPr>
          <w:lang w:val="en-GB"/>
        </w:rPr>
        <w:t xml:space="preserve">urbanization </w:t>
      </w:r>
      <w:r w:rsidR="002C03D2" w:rsidRPr="00A858D5">
        <w:rPr>
          <w:lang w:val="en-GB"/>
        </w:rPr>
        <w:fldChar w:fldCharType="begin" w:fldLock="1"/>
      </w:r>
      <w:r w:rsidR="0084260D" w:rsidRPr="00A858D5">
        <w:rPr>
          <w:lang w:val="en-GB"/>
        </w:rPr>
        <w:instrText>ADDIN CSL_CITATION {"citationItems":[{"id":"ITEM-1","itemData":{"ISBN":"9789279722882","author":[{"dropping-particle":"","family":"Eurostat","given":"","non-dropping-particle":"","parse-names":false,"suffix":""}],"id":"ITEM-1","issued":{"date-parts":[["2017"]]},"publisher":"Publications Office of the European Union","publisher-place":"Luxembourg","title":"Sustainable development in the European Union: Monitoring Report on Progress Towards the SDGs in an EU context","type":"book"},"uris":["http://www.mendeley.com/documents/?uuid=923ece16-2765-4d7f-bb5a-027ad88bda40"]}],"mendeley":{"formattedCitation":"(Eurostat, 2017)","plainTextFormattedCitation":"(Eurostat, 2017)","previouslyFormattedCitation":"(Eurostat, 2017)"},"properties":{"noteIndex":0},"schema":"https://github.com/citation-style-language/schema/raw/master/csl-citation.json"}</w:instrText>
      </w:r>
      <w:r w:rsidR="002C03D2" w:rsidRPr="00A858D5">
        <w:rPr>
          <w:lang w:val="en-GB"/>
        </w:rPr>
        <w:fldChar w:fldCharType="separate"/>
      </w:r>
      <w:r w:rsidR="00D65768" w:rsidRPr="00A858D5">
        <w:rPr>
          <w:noProof/>
          <w:lang w:val="en-GB"/>
        </w:rPr>
        <w:t>(Eurostat, 2017)</w:t>
      </w:r>
      <w:r w:rsidR="002C03D2" w:rsidRPr="00A858D5">
        <w:rPr>
          <w:lang w:val="en-GB"/>
        </w:rPr>
        <w:fldChar w:fldCharType="end"/>
      </w:r>
      <w:r w:rsidR="002074E6" w:rsidRPr="00A858D5">
        <w:rPr>
          <w:lang w:val="en-GB"/>
        </w:rPr>
        <w:t>.</w:t>
      </w:r>
      <w:r w:rsidR="0042136E" w:rsidRPr="00A858D5">
        <w:rPr>
          <w:lang w:val="en-GB"/>
        </w:rPr>
        <w:t xml:space="preserve"> U</w:t>
      </w:r>
      <w:r w:rsidR="002D60BA" w:rsidRPr="00A858D5">
        <w:rPr>
          <w:lang w:val="en-GB"/>
        </w:rPr>
        <w:t>rban green spaces</w:t>
      </w:r>
      <w:r w:rsidR="00670624" w:rsidRPr="00A858D5">
        <w:rPr>
          <w:lang w:val="en-GB"/>
        </w:rPr>
        <w:t xml:space="preserve"> (UGS)</w:t>
      </w:r>
      <w:r w:rsidR="002D60BA" w:rsidRPr="00A858D5">
        <w:rPr>
          <w:lang w:val="en-GB"/>
        </w:rPr>
        <w:t xml:space="preserve"> </w:t>
      </w:r>
      <w:r w:rsidR="00981A70" w:rsidRPr="00A858D5">
        <w:rPr>
          <w:lang w:val="en-GB"/>
        </w:rPr>
        <w:t>may</w:t>
      </w:r>
      <w:r w:rsidR="002D60BA" w:rsidRPr="00A858D5">
        <w:rPr>
          <w:lang w:val="en-GB"/>
        </w:rPr>
        <w:t xml:space="preserve"> </w:t>
      </w:r>
      <w:r w:rsidR="00597344" w:rsidRPr="00A858D5">
        <w:rPr>
          <w:lang w:val="en-GB"/>
        </w:rPr>
        <w:t xml:space="preserve">improve the health and well-being of </w:t>
      </w:r>
      <w:r w:rsidR="00973E5E" w:rsidRPr="00A858D5">
        <w:rPr>
          <w:lang w:val="en-GB"/>
        </w:rPr>
        <w:t>urban dwellers</w:t>
      </w:r>
      <w:r w:rsidR="00E4497D" w:rsidRPr="00A858D5">
        <w:rPr>
          <w:lang w:val="en-GB"/>
        </w:rPr>
        <w:t xml:space="preserve"> </w:t>
      </w:r>
      <w:r w:rsidR="00E4497D" w:rsidRPr="00A858D5">
        <w:rPr>
          <w:lang w:val="en-GB"/>
        </w:rPr>
        <w:fldChar w:fldCharType="begin" w:fldLock="1"/>
      </w:r>
      <w:r w:rsidR="00452D47">
        <w:rPr>
          <w:lang w:val="en-GB"/>
        </w:rPr>
        <w:instrText>ADDIN CSL_CITATION {"citationItems":[{"id":"ITEM-1","itemData":{"DOI":"10.1016/j.ufug.2015.07.008","ISSN":"1618-8667","author":[{"dropping-particle":"","family":"Berg","given":"Magdalena","non-dropping-particle":"Van Den","parse-names":false,"suffix":""},{"dropping-particle":"","family":"Wendel-Vos","given":"Wanda","non-dropping-particle":"","parse-names":false,"suffix":""},{"dropping-particle":"","family":"Poppel","given":"Mireille","non-dropping-particle":"Van","parse-names":false,"suffix":""},{"dropping-particle":"","family":"Kemper","given":"Han","non-dropping-particle":"","parse-names":false,"suffix":""},{"dropping-particle":"","family":"Mechelen","given":"Willem","non-dropping-particle":"Van","parse-names":false,"suffix":""},{"dropping-particle":"","family":"Maas","given":"Jolanda","non-dropping-particle":"","parse-names":false,"suffix":""}],"container-title":"Urban Forestry &amp; Urban Greening","id":"ITEM-1","issue":"4","issued":{"date-parts":[["2015"]]},"page":"806-816","publisher":"Elsevier GmbH.","title":"Health benefits of green spaces in the living environment : A systematic review of epidemiological studies","type":"article-journal","volume":"14"},"uris":["http://www.mendeley.com/documents/?uuid=49178a37-a949-4e6f-96a3-8095ce0e5336"]},{"id":"ITEM-2","itemData":{"DOI":"10.3390/ijerph120404354","ISBN":"3493204590","abstract":"Many studies conducted during the last decade suggest the mental health benefits of green and blue spaces. We aimed to systematically review the available literature on the long-term mental health benefits of residential green and blue spaces by including studies that used standardized tools or objective measures of both the exposures and the outcomes of interest. We followed the PRISMA statement guidelines for reporting systematic reviews and meta-analysis. In total 28 studies were included in the systematic review. We found limited evidence for a causal relationship between surrounding greenness and mental health in adults, whereas the evidence was inadequate in children. The evidence was also inadequate for the other exposures evaluated (access to green spaces, quality of green spaces, and blue spaces) in both adults and children. The main limitation was the limited number of studies, together with the heterogeneity regarding exposure assessment. Given the increase in mental health problems and the current rapid urbanization worldwide, results of the present systematic review should be taken into account in future urban planning. However, further research is needed to provide more consistent evidence and more detailed information on the mechanisms and the characteristics of the green and blue spaces that promote better mental health. We provide recommendations for future studies in order to provide consistent and evidence-based recommendations for policy makers.","author":[{"dropping-particle":"","family":"Gascon","given":"Mireia","non-dropping-particle":"","parse-names":false,"suffix":""},{"dropping-particle":"","family":"Triguero-Mas","given":"Margarita","non-dropping-particle":"","parse-names":false,"suffix":""},{"dropping-particle":"","family":"Martínez","given":"David","non-dropping-particle":"","parse-names":false,"suffix":""},{"dropping-particle":"","family":"Dadvand","given":"Payam","non-dropping-particle":"","parse-names":false,"suffix":""}],"container-title":"International Journal of Environmental Research and Public Health","id":"ITEM-2","issued":{"date-parts":[["2015"]]},"page":"4354-4379","title":"Mental Health Benefits of Long-Term Exposure to Residential Green and Blue Spaces : A Systematic Review","type":"article-journal","volume":"12"},"uris":["http://www.mendeley.com/documents/?uuid=58298b73-aa51-42b0-ba77-cf8e3f14be85"]},{"id":"ITEM-3","itemData":{"DOI":"10.1007/s40471-015-0043-7","author":[{"dropping-particle":"","family":"James","given":"Peter","non-dropping-particle":"","parse-names":false,"suffix":""},{"dropping-particle":"","family":"Banay","given":"Rachel F","non-dropping-particle":"","parse-names":false,"suffix":""},{"dropping-particle":"","family":"Hart","given":"Jaime E","non-dropping-particle":"","parse-names":false,"suffix":""},{"dropping-particle":"","family":"Laden","given":"Francine","non-dropping-particle":"","parse-names":false,"suffix":""}],"container-title":"Current Epidemiology Reports","id":"ITEM-3","issued":{"date-parts":[["2015"]]},"page":"131-142","title":"A Review of the Health Benefits of Greenness","type":"article-journal","volume":"2"},"uris":["http://www.mendeley.com/documents/?uuid=852ae67b-6a19-4f49-8b19-753a4bfff0ca"]},{"id":"ITEM-4","itemData":{"DOI":"10.1016/j.envint.2015.10.013","ISSN":"0160-4120","author":[{"dropping-particle":"","family":"Gascon","given":"Mireia","non-dropping-particle":"","parse-names":false,"suffix":""},{"dropping-particle":"","family":"Triguero-Mas","given":"Margarita","non-dropping-particle":"","parse-names":false,"suffix":""},{"dropping-particle":"","family":"Martínez","given":"David","non-dropping-particle":"","parse-names":false,"suffix":""},{"dropping-particle":"","family":"Dadvand","given":"Payam","non-dropping-particle":"","parse-names":false,"suffix":""}],"container-title":"Environment International","id":"ITEM-4","issued":{"date-parts":[["2016"]]},"page":"60-67","publisher":"Elsevier Ltd","title":"Residential green spaces and mortality : A systematic review","type":"article-journal","volume":"86"},"uris":["http://www.mendeley.com/documents/?uuid=af4fb1be-9d71-4f39-b754-bbcf3d0bd46d"]},{"id":"ITEM-5","itemData":{"DOI":"10.1016/S2542-5196(19)30215-3","ISSN":"2542-5196","author":[{"dropping-particle":"","family":"Rojas-Rueda","given":"David","non-dropping-particle":"","parse-names":false,"suffix":""},{"dropping-particle":"","family":"Nieuwenhuijsen","given":"Mark J","non-dropping-particle":"","parse-names":false,"suffix":""},{"dropping-particle":"","family":"Gascon","given":"Mireia","non-dropping-particle":"","parse-names":false,"suffix":""},{"dropping-particle":"","family":"Perez-Leon","given":"Daniela","non-dropping-particle":"","parse-names":false,"suffix":""},{"dropping-particle":"","family":"Mudu","given":"Pierpaolo","non-dropping-particle":"","parse-names":false,"suffix":""}],"container-title":"The Lancet Planetary Health","id":"ITEM-5","issue":"11","issued":{"date-parts":[["2019"]]},"page":"e469-e477","publisher":"World Health Organization","title":"Green spaces and mortality : a systematic review and meta-analysis of cohort studies","type":"article-journal","volume":"3"},"uris":["http://www.mendeley.com/documents/?uuid=79d9cc9c-5e39-4b2d-97e2-6ca0f9dbef39"]}],"mendeley":{"formattedCitation":"(Gascon et al., 2016, 2015; James et al., 2015; Rojas-Rueda et al., 2019; Van Den Berg et al., 2015)","plainTextFormattedCitation":"(Gascon et al., 2016, 2015; James et al., 2015; Rojas-Rueda et al., 2019; Van Den Berg et al., 2015)","previouslyFormattedCitation":"(Gascon et al., 2016, 2015; James et al., 2015; Rojas-Rueda et al., 2019; Van Den Berg et al., 2015)"},"properties":{"noteIndex":0},"schema":"https://github.com/citation-style-language/schema/raw/master/csl-citation.json"}</w:instrText>
      </w:r>
      <w:r w:rsidR="00E4497D" w:rsidRPr="00A858D5">
        <w:rPr>
          <w:lang w:val="en-GB"/>
        </w:rPr>
        <w:fldChar w:fldCharType="separate"/>
      </w:r>
      <w:r w:rsidR="00113E16" w:rsidRPr="00113E16">
        <w:rPr>
          <w:noProof/>
          <w:lang w:val="en-GB"/>
        </w:rPr>
        <w:t>(Gascon et al., 2016, 2015; James et al., 2015; Rojas-Rueda et al., 2019; Van Den Berg et al., 2015)</w:t>
      </w:r>
      <w:r w:rsidR="00E4497D" w:rsidRPr="00A858D5">
        <w:rPr>
          <w:lang w:val="en-GB"/>
        </w:rPr>
        <w:fldChar w:fldCharType="end"/>
      </w:r>
      <w:r w:rsidR="0042136E" w:rsidRPr="00A858D5">
        <w:rPr>
          <w:lang w:val="en-GB"/>
        </w:rPr>
        <w:t xml:space="preserve"> through</w:t>
      </w:r>
      <w:r w:rsidR="0029562E" w:rsidRPr="00A858D5">
        <w:rPr>
          <w:lang w:val="en-GB"/>
        </w:rPr>
        <w:t xml:space="preserve"> the</w:t>
      </w:r>
      <w:r w:rsidR="000720E6" w:rsidRPr="00A858D5">
        <w:rPr>
          <w:lang w:val="en-GB"/>
        </w:rPr>
        <w:t xml:space="preserve"> </w:t>
      </w:r>
      <w:r w:rsidR="00D12A43" w:rsidRPr="00A858D5">
        <w:rPr>
          <w:lang w:val="en-GB"/>
        </w:rPr>
        <w:t>reduction</w:t>
      </w:r>
      <w:r w:rsidR="00597344" w:rsidRPr="00A858D5">
        <w:rPr>
          <w:lang w:val="en-GB"/>
        </w:rPr>
        <w:t xml:space="preserve"> </w:t>
      </w:r>
      <w:r w:rsidR="009C1E20" w:rsidRPr="00A858D5">
        <w:rPr>
          <w:lang w:val="en-GB"/>
        </w:rPr>
        <w:t xml:space="preserve">of </w:t>
      </w:r>
      <w:r w:rsidR="00597344" w:rsidRPr="00A858D5">
        <w:rPr>
          <w:lang w:val="en-GB"/>
        </w:rPr>
        <w:t xml:space="preserve">environmental hazards, </w:t>
      </w:r>
      <w:r w:rsidR="007E548A" w:rsidRPr="00A858D5">
        <w:rPr>
          <w:lang w:val="en-GB"/>
        </w:rPr>
        <w:t>increased biodiversity, stress reduction and restoration</w:t>
      </w:r>
      <w:r w:rsidR="00627EF6" w:rsidRPr="00A858D5">
        <w:rPr>
          <w:lang w:val="en-GB"/>
        </w:rPr>
        <w:t xml:space="preserve">, </w:t>
      </w:r>
      <w:r w:rsidR="0095707F" w:rsidRPr="00A858D5">
        <w:rPr>
          <w:lang w:val="en-GB"/>
        </w:rPr>
        <w:t>and</w:t>
      </w:r>
      <w:r w:rsidR="00627EF6" w:rsidRPr="00A858D5">
        <w:rPr>
          <w:lang w:val="en-GB"/>
        </w:rPr>
        <w:t xml:space="preserve"> opportunities for physical activity and social cohesion</w:t>
      </w:r>
      <w:r w:rsidR="00833F60" w:rsidRPr="00A858D5">
        <w:rPr>
          <w:lang w:val="en-GB"/>
        </w:rPr>
        <w:t xml:space="preserve"> </w:t>
      </w:r>
      <w:r w:rsidR="00833F60" w:rsidRPr="00A858D5">
        <w:rPr>
          <w:lang w:val="en-GB"/>
        </w:rPr>
        <w:fldChar w:fldCharType="begin" w:fldLock="1"/>
      </w:r>
      <w:r w:rsidR="00452D47">
        <w:rPr>
          <w:lang w:val="en-GB"/>
        </w:rPr>
        <w:instrText>ADDIN CSL_CITATION {"citationItems":[{"id":"ITEM-1","itemData":{"DOI":"10.1097/EDE.0000000000000549","ISBN":"0000000000000","author":[{"dropping-particle":"","family":"Nieuwenhuijsen","given":"Mark J","non-dropping-particle":"","parse-names":false,"suffix":""},{"dropping-particle":"","family":"Khreis","given":"Haneen","non-dropping-particle":"","parse-names":false,"suffix":""},{"dropping-particle":"","family":"Triguero-Mas","given":"Margarita","non-dropping-particle":"","parse-names":false,"suffix":""},{"dropping-particle":"","family":"Gascon","given":"Mireia","non-dropping-particle":"","parse-names":false,"suffix":""},{"dropping-particle":"","family":"Dadvand","given":"Payam","non-dropping-particle":"","parse-names":false,"suffix":""}],"container-title":"Epidemiology","id":"ITEM-1","issue":"1","issued":{"date-parts":[["2017"]]},"page":"63-71","title":"Fifty Shades of Green. Pathway to Healthy Urban Living.","type":"article-journal","volume":"28"},"uris":["http://www.mendeley.com/documents/?uuid=50dae047-4b41-4632-909a-c168c7b0aefa"]}],"mendeley":{"formattedCitation":"(Nieuwenhuijsen et al., 2017)","plainTextFormattedCitation":"(Nieuwenhuijsen et al., 2017)","previouslyFormattedCitation":"(Nieuwenhuijsen et al., 2017)"},"properties":{"noteIndex":0},"schema":"https://github.com/citation-style-language/schema/raw/master/csl-citation.json"}</w:instrText>
      </w:r>
      <w:r w:rsidR="00833F60" w:rsidRPr="00A858D5">
        <w:rPr>
          <w:lang w:val="en-GB"/>
        </w:rPr>
        <w:fldChar w:fldCharType="separate"/>
      </w:r>
      <w:r w:rsidR="009F0D48" w:rsidRPr="00113E16">
        <w:rPr>
          <w:noProof/>
          <w:lang w:val="en-GB"/>
        </w:rPr>
        <w:t>(Nieuwenhuijsen et al., 2017)</w:t>
      </w:r>
      <w:r w:rsidR="00833F60" w:rsidRPr="00A858D5">
        <w:rPr>
          <w:lang w:val="en-GB"/>
        </w:rPr>
        <w:fldChar w:fldCharType="end"/>
      </w:r>
      <w:r w:rsidR="00FF45FC" w:rsidRPr="00A858D5">
        <w:rPr>
          <w:lang w:val="en-GB"/>
        </w:rPr>
        <w:t>.</w:t>
      </w:r>
      <w:r w:rsidR="00C0551B" w:rsidRPr="00A858D5">
        <w:rPr>
          <w:lang w:val="en-GB"/>
        </w:rPr>
        <w:t xml:space="preserve"> </w:t>
      </w:r>
      <w:r w:rsidR="00C57786" w:rsidRPr="00A858D5">
        <w:rPr>
          <w:lang w:val="en-GB"/>
        </w:rPr>
        <w:t>Additionally,</w:t>
      </w:r>
      <w:r w:rsidR="00256A18" w:rsidRPr="00A858D5">
        <w:rPr>
          <w:lang w:val="en-GB"/>
        </w:rPr>
        <w:t xml:space="preserve"> the </w:t>
      </w:r>
      <w:r w:rsidR="002E3D28" w:rsidRPr="00A858D5">
        <w:rPr>
          <w:lang w:val="en-GB"/>
        </w:rPr>
        <w:t>health effects of green spaces might strongly depend on socio</w:t>
      </w:r>
      <w:r w:rsidR="00222810" w:rsidRPr="00A858D5">
        <w:rPr>
          <w:lang w:val="en-GB"/>
        </w:rPr>
        <w:t xml:space="preserve">economic and </w:t>
      </w:r>
      <w:r w:rsidR="002E3D28" w:rsidRPr="00A858D5">
        <w:rPr>
          <w:lang w:val="en-GB"/>
        </w:rPr>
        <w:t>demographic</w:t>
      </w:r>
      <w:r w:rsidR="004805BF" w:rsidRPr="00A858D5">
        <w:rPr>
          <w:lang w:val="en-GB"/>
        </w:rPr>
        <w:t xml:space="preserve"> factors, which are likely to determine the </w:t>
      </w:r>
      <w:r w:rsidR="00995D2C" w:rsidRPr="00C0054A">
        <w:rPr>
          <w:lang w:val="en-GB"/>
        </w:rPr>
        <w:t>exposure</w:t>
      </w:r>
      <w:r w:rsidR="00A05825" w:rsidRPr="00A858D5">
        <w:rPr>
          <w:lang w:val="en-GB"/>
        </w:rPr>
        <w:t xml:space="preserve"> </w:t>
      </w:r>
      <w:r w:rsidR="00585D7F" w:rsidRPr="00A858D5">
        <w:rPr>
          <w:lang w:val="en-GB"/>
        </w:rPr>
        <w:fldChar w:fldCharType="begin" w:fldLock="1"/>
      </w:r>
      <w:r w:rsidR="0084260D" w:rsidRPr="00A858D5">
        <w:rPr>
          <w:lang w:val="en-GB"/>
        </w:rPr>
        <w:instrText>ADDIN CSL_CITATION {"citationItems":[{"id":"ITEM-1","itemData":{"DOI":"10.1016/j.landurbplan.2016.05.017","ISSN":"0169-2046","author":[{"dropping-particle":"","family":"Rigolon","given":"Alessandro","non-dropping-particle":"","parse-names":false,"suffix":""}],"container-title":"Landscape and Urban Planning","id":"ITEM-1","issued":{"date-parts":[["2016"]]},"page":"160-169","publisher":"Elsevier B.V.","title":"A complex landscape of inequity in access to urban parks : A literature review","type":"article-journal","volume":"153"},"uris":["http://www.mendeley.com/documents/?uuid=0b9cd880-1636-4c67-9ac9-69d0b83ea713"]}],"mendeley":{"formattedCitation":"(Rigolon, 2016)","plainTextFormattedCitation":"(Rigolon, 2016)","previouslyFormattedCitation":"(Rigolon, 2016)"},"properties":{"noteIndex":0},"schema":"https://github.com/citation-style-language/schema/raw/master/csl-citation.json"}</w:instrText>
      </w:r>
      <w:r w:rsidR="00585D7F" w:rsidRPr="00A858D5">
        <w:rPr>
          <w:lang w:val="en-GB"/>
        </w:rPr>
        <w:fldChar w:fldCharType="separate"/>
      </w:r>
      <w:r w:rsidR="00D65768" w:rsidRPr="00A858D5">
        <w:rPr>
          <w:noProof/>
          <w:lang w:val="en-GB"/>
        </w:rPr>
        <w:t>(Rigolon, 2016)</w:t>
      </w:r>
      <w:r w:rsidR="00585D7F" w:rsidRPr="00A858D5">
        <w:rPr>
          <w:lang w:val="en-GB"/>
        </w:rPr>
        <w:fldChar w:fldCharType="end"/>
      </w:r>
      <w:r w:rsidR="009D6148" w:rsidRPr="00A858D5">
        <w:rPr>
          <w:lang w:val="en-GB"/>
        </w:rPr>
        <w:t xml:space="preserve"> </w:t>
      </w:r>
      <w:r w:rsidR="007620D6" w:rsidRPr="00A858D5">
        <w:rPr>
          <w:lang w:val="en-GB"/>
        </w:rPr>
        <w:t xml:space="preserve">and </w:t>
      </w:r>
      <w:r w:rsidR="009D6148" w:rsidRPr="00A858D5">
        <w:rPr>
          <w:lang w:val="en-GB"/>
        </w:rPr>
        <w:t>the susceptibility and sensitivity of</w:t>
      </w:r>
      <w:r w:rsidR="005E31C9" w:rsidRPr="00A858D5">
        <w:rPr>
          <w:lang w:val="en-GB"/>
        </w:rPr>
        <w:t xml:space="preserve"> the population to residential UGS</w:t>
      </w:r>
      <w:r w:rsidR="00EF6B2E" w:rsidRPr="00A858D5">
        <w:rPr>
          <w:lang w:val="en-GB"/>
        </w:rPr>
        <w:t>, as already stated for urban environmental stressors</w:t>
      </w:r>
      <w:r w:rsidR="005E31C9" w:rsidRPr="00A858D5">
        <w:rPr>
          <w:lang w:val="en-GB"/>
        </w:rPr>
        <w:t xml:space="preserve"> </w:t>
      </w:r>
      <w:r w:rsidR="005E31C9" w:rsidRPr="00A858D5">
        <w:rPr>
          <w:lang w:val="en-GB"/>
        </w:rPr>
        <w:fldChar w:fldCharType="begin" w:fldLock="1"/>
      </w:r>
      <w:r w:rsidR="0084260D" w:rsidRPr="00A858D5">
        <w:rPr>
          <w:lang w:val="en-GB"/>
        </w:rPr>
        <w:instrText>ADDIN CSL_CITATION {"citationItems":[{"id":"ITEM-1","itemData":{"DOI":"10.2779/200217","ISBN":"9789279457340","author":[{"dropping-particle":"","family":"Science for Environment Policy","given":"","non-dropping-particle":"","parse-names":false,"suffix":""}],"id":"ITEM-1","issue":"In-depth Report 13 produced for the European Commission","issued":{"date-parts":[["2016"]]},"publisher-place":"Bristol","title":"Links between noise and air pollution and socioeconomic status","type":"report"},"uris":["http://www.mendeley.com/documents/?uuid=e2d0b985-fd17-4f34-997f-1554d26c9dc5"]}],"mendeley":{"formattedCitation":"(Science for Environment Policy, 2016)","plainTextFormattedCitation":"(Science for Environment Policy, 2016)","previouslyFormattedCitation":"(Science for Environment Policy, 2016)"},"properties":{"noteIndex":0},"schema":"https://github.com/citation-style-language/schema/raw/master/csl-citation.json"}</w:instrText>
      </w:r>
      <w:r w:rsidR="005E31C9" w:rsidRPr="00A858D5">
        <w:rPr>
          <w:lang w:val="en-GB"/>
        </w:rPr>
        <w:fldChar w:fldCharType="separate"/>
      </w:r>
      <w:r w:rsidR="00D65768" w:rsidRPr="00A858D5">
        <w:rPr>
          <w:noProof/>
          <w:lang w:val="en-GB"/>
        </w:rPr>
        <w:t>(Science for Environment Policy, 2016)</w:t>
      </w:r>
      <w:r w:rsidR="005E31C9" w:rsidRPr="00A858D5">
        <w:rPr>
          <w:lang w:val="en-GB"/>
        </w:rPr>
        <w:fldChar w:fldCharType="end"/>
      </w:r>
      <w:r w:rsidR="009240D1" w:rsidRPr="00A858D5">
        <w:rPr>
          <w:lang w:val="en-GB"/>
        </w:rPr>
        <w:t>.</w:t>
      </w:r>
    </w:p>
    <w:p w14:paraId="30F8F386" w14:textId="4ED53DE3" w:rsidR="00B4112C" w:rsidRPr="00C0054A" w:rsidRDefault="00A91197" w:rsidP="00A702DB">
      <w:pPr>
        <w:rPr>
          <w:szCs w:val="22"/>
          <w:lang w:val="en-GB"/>
        </w:rPr>
      </w:pPr>
      <w:r w:rsidRPr="00A858D5">
        <w:rPr>
          <w:lang w:val="en-GB"/>
        </w:rPr>
        <w:t>To</w:t>
      </w:r>
      <w:r w:rsidR="00E13D9F" w:rsidRPr="00A858D5">
        <w:rPr>
          <w:lang w:val="en-GB"/>
        </w:rPr>
        <w:t xml:space="preserve"> date, </w:t>
      </w:r>
      <w:r w:rsidR="007D6461" w:rsidRPr="00A858D5">
        <w:rPr>
          <w:lang w:val="en-GB"/>
        </w:rPr>
        <w:t xml:space="preserve">the </w:t>
      </w:r>
      <w:r w:rsidRPr="00A858D5">
        <w:rPr>
          <w:lang w:val="en-GB"/>
        </w:rPr>
        <w:t xml:space="preserve">few studies </w:t>
      </w:r>
      <w:r w:rsidR="007D6461" w:rsidRPr="00A858D5">
        <w:rPr>
          <w:lang w:val="en-GB"/>
        </w:rPr>
        <w:t>investigating</w:t>
      </w:r>
      <w:r w:rsidRPr="00A858D5">
        <w:rPr>
          <w:lang w:val="en-GB"/>
        </w:rPr>
        <w:t xml:space="preserve"> the effect modification of</w:t>
      </w:r>
      <w:r w:rsidR="00D513A3" w:rsidRPr="00A858D5">
        <w:rPr>
          <w:lang w:val="en-GB"/>
        </w:rPr>
        <w:t xml:space="preserve"> socio</w:t>
      </w:r>
      <w:r w:rsidR="00222810" w:rsidRPr="00A858D5">
        <w:rPr>
          <w:lang w:val="en-GB"/>
        </w:rPr>
        <w:t xml:space="preserve">economic and </w:t>
      </w:r>
      <w:r w:rsidR="00D513A3" w:rsidRPr="00A858D5">
        <w:rPr>
          <w:lang w:val="en-GB"/>
        </w:rPr>
        <w:t xml:space="preserve">demographic characteristics </w:t>
      </w:r>
      <w:r w:rsidRPr="00A858D5">
        <w:rPr>
          <w:lang w:val="en-GB"/>
        </w:rPr>
        <w:t>on</w:t>
      </w:r>
      <w:r w:rsidR="00D513A3" w:rsidRPr="00A858D5">
        <w:rPr>
          <w:lang w:val="en-GB"/>
        </w:rPr>
        <w:t xml:space="preserve"> the associations between UGS and health</w:t>
      </w:r>
      <w:r w:rsidR="007D6461" w:rsidRPr="00A858D5">
        <w:rPr>
          <w:lang w:val="en-GB"/>
        </w:rPr>
        <w:t xml:space="preserve"> have shown</w:t>
      </w:r>
      <w:r w:rsidR="00981A70" w:rsidRPr="00A858D5">
        <w:rPr>
          <w:lang w:val="en-GB"/>
        </w:rPr>
        <w:t xml:space="preserve"> inconsistent results</w:t>
      </w:r>
      <w:r w:rsidR="005B7492" w:rsidRPr="00A858D5">
        <w:rPr>
          <w:lang w:val="en-GB"/>
        </w:rPr>
        <w:t>, e.g.</w:t>
      </w:r>
      <w:r w:rsidR="001E41DE">
        <w:rPr>
          <w:lang w:val="en-GB"/>
        </w:rPr>
        <w:t>,</w:t>
      </w:r>
      <w:r w:rsidR="005B7492" w:rsidRPr="00A858D5">
        <w:rPr>
          <w:lang w:val="en-GB"/>
        </w:rPr>
        <w:t xml:space="preserve"> </w:t>
      </w:r>
      <w:r w:rsidR="00A65181" w:rsidRPr="00A858D5">
        <w:rPr>
          <w:lang w:val="en-GB"/>
        </w:rPr>
        <w:t xml:space="preserve">by gender </w:t>
      </w:r>
      <w:r w:rsidR="00A65181" w:rsidRPr="00A858D5">
        <w:rPr>
          <w:lang w:val="en-GB"/>
        </w:rPr>
        <w:fldChar w:fldCharType="begin" w:fldLock="1"/>
      </w:r>
      <w:r w:rsidR="00452D47">
        <w:rPr>
          <w:lang w:val="en-GB"/>
        </w:rPr>
        <w:instrText>ADDIN CSL_CITATION {"citationItems":[{"id":"ITEM-1","itemData":{"DOI":"10.1038/ijo.2013.64","author":[{"dropping-particle":"","family":"Astell-Burt","given":"Thomas","non-dropping-particle":"","parse-names":false,"suffix":""},{"dropping-particle":"","family":"Feng","given":"X","non-dropping-particle":"","parse-names":false,"suffix":""},{"dropping-particle":"","family":"Kolt","given":"G S","non-dropping-particle":"","parse-names":false,"suffix":""}],"container-title":"International Journal of Obesity","id":"ITEM-1","issued":{"date-parts":[["2014"]]},"page":"156-159","title":"Greener neighborhoods, slimmer people ? Evidence from 246 920 Australians","type":"article-journal","volume":"38"},"uris":["http://www.mendeley.com/documents/?uuid=4e229a8c-8565-4a33-896d-509938f47d09"]},{"id":"ITEM-2","itemData":{"DOI":"10.1177/1403494814544494","author":[{"dropping-particle":"","family":"Reklaitiene","given":"Regina","non-dropping-particle":"","parse-names":false,"suffix":""},{"dropping-particle":"","family":"Grazuleviciene","given":"Regina","non-dropping-particle":"","parse-names":false,"suffix":""},{"dropping-particle":"","family":"Dedele","given":"Audrius","non-dropping-particle":"","parse-names":false,"suffix":""},{"dropping-particle":"","family":"Virviciute","given":"Dalia","non-dropping-particle":"","parse-names":false,"suffix":""},{"dropping-particle":"","family":"Vensloviene","given":"Jone","non-dropping-particle":"","parse-names":false,"suffix":""},{"dropping-particle":"","family":"Tamosiunas","given":"Abdonas","non-dropping-particle":"","parse-names":false,"suffix":""},{"dropping-particle":"","family":"Luksiene","given":"Dalia","non-dropping-particle":"","parse-names":false,"suffix":""},{"dropping-particle":"","family":"Sapranaviciute-zabazlajeva","given":"Laura","non-dropping-particle":"","parse-names":false,"suffix":""},{"dropping-particle":"","family":"Radisauskas","given":"Ricardas","non-dropping-particle":"","parse-names":false,"suffix":""},{"dropping-particle":"","family":"Bernotiene","given":"Gailute","non-dropping-particle":"","parse-names":false,"suffix":""},{"dropping-particle":"","family":"Bobak","given":"Martin","non-dropping-particle":"","parse-names":false,"suffix":""},{"dropping-particle":"","family":"Mark","given":"J","non-dropping-particle":"","parse-names":false,"suffix":""},{"dropping-particle":"","family":"Publica","given":"Salud","non-dropping-particle":"","parse-names":false,"suffix":""}],"container-title":"Scandinavian Journal of Public Health","id":"ITEM-2","issued":{"date-parts":[["2014"]]},"page":"669-676","title":"The relationship of green space, depressive symptoms and perceived general health in urban population","type":"article-journal","volume":"42"},"uris":["http://www.mendeley.com/documents/?uuid=6bd57179-df19-4d8e-aab3-b620623ce719"]},{"id":"ITEM-3","itemData":{"DOI":"10.1016/j.envint.2015.01.012","author":[{"dropping-particle":"","family":"Triguero-Mas","given":"Margarita","non-dropping-particle":"","parse-names":false,"suffix":""},{"dropping-particle":"","family":"Dadvand","given":"Payam","non-dropping-particle":"","parse-names":false,"suffix":""},{"dropping-particle":"","family":"Cirach","given":"Marta","non-dropping-particle":"","parse-names":false,"suffix":""},{"dropping-particle":"","family":"Martínez","given":"David","non-dropping-particle":"","parse-names":false,"suffix":""},{"dropping-particle":"","family":"Medina","given":"Antonia","non-dropping-particle":"","parse-names":false,"suffix":""},{"dropping-particle":"","family":"Mompart","given":"Anna","non-dropping-particle":"","parse-names":false,"suffix":""},{"dropping-particle":"","family":"Basagaña","given":"Xavier","non-dropping-particle":"","parse-names":false,"suffix":""},{"dropping-particle":"","family":"Gražulevičienė","given":"Regina","non-dropping-particle":"","parse-names":false,"suffix":""},{"dropping-particle":"","family":"Nieuwenhuijsen","given":"Mark J","non-dropping-particle":"","parse-names":false,"suffix":""}],"container-title":"Environment International","id":"ITEM-3","issued":{"date-parts":[["2015"]]},"page":"35-41","title":"Natural outdoor environments and mental and physical health : Relationships and mechanisms","type":"article-journal","volume":"77"},"uris":["http://www.mendeley.com/documents/?uuid=5dc0813b-3dc5-47ac-afec-463658e4c795"]},{"id":"ITEM-4","itemData":{"DOI":"10.1136/jech-2013-203767","author":[{"dropping-particle":"","family":"Astell-Burt","given":"Thomas","non-dropping-particle":"","parse-names":false,"suffix":""},{"dropping-particle":"","family":"Mitchell","given":"Richard","non-dropping-particle":"","parse-names":false,"suffix":""},{"dropping-particle":"","family":"Hartig","given":"Terry","non-dropping-particle":"","parse-names":false,"suffix":""}],"container-title":"Journal of Epidemiology and Community Health","id":"ITEM-4","issued":{"date-parts":[["2014"]]},"page":"578-583","title":"The association between green space and mental health varies across the lifecourse . A longitudinal study","type":"article-journal","volume":"68"},"uris":["http://www.mendeley.com/documents/?uuid=71275a44-3d2f-4c47-b368-dfd91750b6de"]},{"id":"ITEM-5","itemData":{"DOI":"10.1016/j.socscimed.2010.04.015","ISSN":"0277-9536","author":[{"dropping-particle":"","family":"Richardson","given":"Elizabeth A","non-dropping-particle":"","parse-names":false,"suffix":""},{"dropping-particle":"","family":"Mitchell","given":"Richard","non-dropping-particle":"","parse-names":false,"suffix":""}],"container-title":"Social Science &amp; Medicine","id":"ITEM-5","issued":{"date-parts":[["2010"]]},"page":"568-575","publisher":"Elsevier Ltd","title":"Gender differences in relationships between urban green space and health in the United Kingdom","type":"article-journal","volume":"71"},"uris":["http://www.mendeley.com/documents/?uuid=16952bd9-7db6-4962-beb3-5bb29168de35"]}],"mendeley":{"formattedCitation":"(Astell-Burt et al., 2014a, 2014b; Reklaitiene et al., 2014; Richardson and Mitchell, 2010; Triguero-Mas et al., 2015)","plainTextFormattedCitation":"(Astell-Burt et al., 2014a, 2014b; Reklaitiene et al., 2014; Richardson and Mitchell, 2010; Triguero-Mas et al., 2015)","previouslyFormattedCitation":"(Astell-Burt et al., 2014a, 2014b; Reklaitiene et al., 2014; Richardson and Mitchell, 2010; Triguero-Mas et al., 2015)"},"properties":{"noteIndex":0},"schema":"https://github.com/citation-style-language/schema/raw/master/csl-citation.json"}</w:instrText>
      </w:r>
      <w:r w:rsidR="00A65181" w:rsidRPr="00A858D5">
        <w:rPr>
          <w:lang w:val="en-GB"/>
        </w:rPr>
        <w:fldChar w:fldCharType="separate"/>
      </w:r>
      <w:r w:rsidR="00113E16" w:rsidRPr="00113E16">
        <w:rPr>
          <w:noProof/>
          <w:lang w:val="en-GB"/>
        </w:rPr>
        <w:t>(Astell-Burt et al., 2014a, 2014b; Reklaitiene et al., 2014; Richardson and Mitchell, 2010; Triguero-Mas et al., 2015)</w:t>
      </w:r>
      <w:r w:rsidR="00A65181" w:rsidRPr="00A858D5">
        <w:rPr>
          <w:lang w:val="en-GB"/>
        </w:rPr>
        <w:fldChar w:fldCharType="end"/>
      </w:r>
      <w:r w:rsidR="007B1091" w:rsidRPr="00A858D5">
        <w:rPr>
          <w:lang w:val="en-GB"/>
        </w:rPr>
        <w:t xml:space="preserve">, by socioeconomic position (SEP) </w:t>
      </w:r>
      <w:r w:rsidR="007B1091" w:rsidRPr="00A858D5">
        <w:rPr>
          <w:lang w:val="en-GB"/>
        </w:rPr>
        <w:fldChar w:fldCharType="begin" w:fldLock="1"/>
      </w:r>
      <w:r w:rsidR="00EB5AA3">
        <w:rPr>
          <w:lang w:val="en-GB"/>
        </w:rPr>
        <w:instrText>ADDIN CSL_CITATION {"citationItems":[{"id":"ITEM-1","itemData":{"DOI":"10.1068/a35111","author":[{"dropping-particle":"","family":"Vries","given":"Sjerp","non-dropping-particle":"de","parse-names":false,"suffix":""},{"dropping-particle":"","family":"Verheij","given":"Robert A","non-dropping-particle":"","parse-names":false,"suffix":""},{"dropping-particle":"","family":"Groenewegen","given":"Peter P","non-dropping-particle":"","parse-names":false,"suffix":""},{"dropping-particle":"","family":"Spreeuwenberg","given":"Peter","non-dropping-particle":"","parse-names":false,"suffix":""}],"container-title":"Environment and Planning A: Economy and Space","id":"ITEM-1","issue":"10","issued":{"date-parts":[["2003"]]},"page":"1717-1731","title":"Natural environments - healthy environments ? An exploratory analysis of the relationship between greenspace and health","type":"article-journal","volume":"35"},"uris":["http://www.mendeley.com/documents/?uuid=211d0209-c4c5-4939-a5c6-c11f4f2bd58a"]},{"id":"ITEM-2","itemData":{"DOI":"10.1136/jech.2008.079038","author":[{"dropping-particle":"","family":"Maas","given":"J","non-dropping-particle":"","parse-names":false,"suffix":""},{"dropping-particle":"","family":"Verheij","given":"R A","non-dropping-particle":"","parse-names":false,"suffix":""},{"dropping-particle":"De","family":"Vries","given":"S","non-dropping-particle":"","parse-names":false,"suffix":""},{"dropping-particle":"","family":"Spreeuwenberg","given":"P","non-dropping-particle":"","parse-names":false,"suffix":""},{"dropping-particle":"","family":"Schellevis","given":"F G","non-dropping-particle":"","parse-names":false,"suffix":""},{"dropping-particle":"","family":"Groenewegen","given":"P P","non-dropping-particle":"","parse-names":false,"suffix":""}],"container-title":"Journal of Epidemiology &amp; Community Health","id":"ITEM-2","issued":{"date-parts":[["2009"]]},"page":"967-973","title":"Morbidity is related to a green living environment","type":"article-journal","volume":"63"},"uris":["http://www.mendeley.com/documents/?uuid=a1409fa3-6f82-40c5-b03d-222fdaab4c31"]},{"id":"ITEM-3","itemData":{"DOI":"10.1016/S0140-6736(08)61689-X","ISSN":"0140-6736","author":[{"dropping-particle":"","family":"Mitchell","given":"Richard","non-dropping-particle":"","parse-names":false,"suffix":""},{"dropping-particle":"","family":"Popham","given":"Frank","non-dropping-particle":"","parse-names":false,"suffix":""}],"container-title":"The Lancet","id":"ITEM-3","issued":{"date-parts":[["2008"]]},"page":"1655-1660","publisher":"Elsevier Ltd","title":"Effect of exposure to natural environment on health inequalities : an observational population study","type":"article-journal","volume":"372"},"uris":["http://www.mendeley.com/documents/?uuid=a1849850-0cb9-49bd-8440-2c45883fad4c"]},{"id":"ITEM-4","itemData":{"DOI":"10.1016/j.envint.2015.01.012","author":[{"dropping-particle":"","family":"Triguero-Mas","given":"Margarita","non-dropping-particle":"","parse-names":false,"suffix":""},{"dropping-particle":"","family":"Dadvand","given":"Payam","non-dropping-particle":"","parse-names":false,"suffix":""},{"dropping-particle":"","family":"Cirach","given":"Marta","non-dropping-particle":"","parse-names":false,"suffix":""},{"dropping-particle":"","family":"Martínez","given":"David","non-dropping-particle":"","parse-names":false,"suffix":""},{"dropping-particle":"","family":"Medina","given":"Antonia","non-dropping-particle":"","parse-names":false,"suffix":""},{"dropping-particle":"","family":"Mompart","given":"Anna","non-dropping-particle":"","parse-names":false,"suffix":""},{"dropping-particle":"","family":"Basagaña","given":"Xavier","non-dropping-particle":"","parse-names":false,"suffix":""},{"dropping-particle":"","family":"Gražulevičienė","given":"Regina","non-dropping-particle":"","parse-names":false,"suffix":""},{"dropping-particle":"","family":"Nieuwenhuijsen","given":"Mark J","non-dropping-particle":"","parse-names":false,"suffix":""}],"container-title":"Environment International","id":"ITEM-4","issued":{"date-parts":[["2015"]]},"page":"35-41","title":"Natural outdoor environments and mental and physical health : Relationships and mechanisms","type":"article-journal","volume":"77"},"uris":["http://www.mendeley.com/documents/?uuid=5dc0813b-3dc5-47ac-afec-463658e4c795"]},{"id":"ITEM-5","itemData":{"DOI":"10.1016/j.healthplace.2016.01.002","ISSN":"1353-8292","author":[{"dropping-particle":"","family":"Sugiyama","given":"Takemi","non-dropping-particle":"","parse-names":false,"suffix":""},{"dropping-particle":"","family":"Villanueva","given":"Karen","non-dropping-particle":"","parse-names":false,"suffix":""},{"dropping-particle":"","family":"Knuiman","given":"Matthew","non-dropping-particle":"","parse-names":false,"suffix":""},{"dropping-particle":"","family":"Francis","given":"Jacinta","non-dropping-particle":"","parse-names":false,"suffix":""},{"dropping-particle":"","family":"Foster","given":"Sarah","non-dropping-particle":"","parse-names":false,"suffix":""},{"dropping-particle":"","family":"Wood","given":"Lisa","non-dropping-particle":"","parse-names":false,"suffix":""},{"dropping-particle":"","family":"Giles-corti","given":"Billie","non-dropping-particle":"","parse-names":false,"suffix":""}],"container-title":"Health &amp; Place","id":"ITEM-5","issued":{"date-parts":[["2016"]]},"page":"16-21","publisher":"Elsevier","title":"Can neighborhood green space mitigate health inequalities ? A study of socio-economic status and mental health","type":"article-journal","volume":"38"},"uris":["http://www.mendeley.com/documents/?uuid=f91cac4e-d9ac-4927-b518-2799ed0d7c95"]}],"mendeley":{"formattedCitation":"(de Vries et al., 2003; Maas et al., 2009; Mitchell and Popham, 2008; Sugiyama et al., 2016; Triguero-Mas et al., 2015)","plainTextFormattedCitation":"(de Vries et al., 2003; Maas et al., 2009; Mitchell and Popham, 2008; Sugiyama et al., 2016; Triguero-Mas et al., 2015)","previouslyFormattedCitation":"(De Vries et al., 2003; Maas et al., 2009; Mitchell and Popham, 2008; Sugiyama et al., 2016; Triguero-Mas et al., 2015)"},"properties":{"noteIndex":0},"schema":"https://github.com/citation-style-language/schema/raw/master/csl-citation.json"}</w:instrText>
      </w:r>
      <w:r w:rsidR="007B1091" w:rsidRPr="00A858D5">
        <w:rPr>
          <w:lang w:val="en-GB"/>
        </w:rPr>
        <w:fldChar w:fldCharType="separate"/>
      </w:r>
      <w:r w:rsidR="00EB5AA3" w:rsidRPr="00EB5AA3">
        <w:rPr>
          <w:noProof/>
          <w:lang w:val="en-GB"/>
        </w:rPr>
        <w:t>(de Vries et al., 2003; Maas et al., 2009; Mitchell and Popham, 2008; Sugiyama et al., 2016; Triguero-Mas et al., 2015)</w:t>
      </w:r>
      <w:r w:rsidR="007B1091" w:rsidRPr="00A858D5">
        <w:rPr>
          <w:lang w:val="en-GB"/>
        </w:rPr>
        <w:fldChar w:fldCharType="end"/>
      </w:r>
      <w:r w:rsidR="007B1091" w:rsidRPr="00A858D5">
        <w:rPr>
          <w:lang w:val="en-GB"/>
        </w:rPr>
        <w:t xml:space="preserve">, </w:t>
      </w:r>
      <w:r w:rsidR="00DA4A9C" w:rsidRPr="00A858D5">
        <w:rPr>
          <w:lang w:val="en-GB"/>
        </w:rPr>
        <w:t xml:space="preserve">and by </w:t>
      </w:r>
      <w:r w:rsidR="00AB3829" w:rsidRPr="00A858D5">
        <w:rPr>
          <w:lang w:val="en-GB"/>
        </w:rPr>
        <w:t xml:space="preserve">ethnicity or </w:t>
      </w:r>
      <w:r w:rsidR="00DA4A9C" w:rsidRPr="00A858D5">
        <w:rPr>
          <w:lang w:val="en-GB"/>
        </w:rPr>
        <w:t>migrant background</w:t>
      </w:r>
      <w:r w:rsidR="00AB3829" w:rsidRPr="00A858D5">
        <w:rPr>
          <w:lang w:val="en-GB"/>
        </w:rPr>
        <w:t xml:space="preserve"> </w:t>
      </w:r>
      <w:r w:rsidR="00AB3829" w:rsidRPr="00A858D5">
        <w:rPr>
          <w:lang w:val="en-GB"/>
        </w:rPr>
        <w:fldChar w:fldCharType="begin" w:fldLock="1"/>
      </w:r>
      <w:r w:rsidR="00452D47">
        <w:rPr>
          <w:lang w:val="en-GB"/>
        </w:rPr>
        <w:instrText>ADDIN CSL_CITATION {"citationItems":[{"id":"ITEM-1","itemData":{"DOI":"10.1016/j.envint.2014.06.010","author":[{"dropping-particle":"","family":"Dadvand","given":"Payam","non-dropping-particle":"","parse-names":false,"suffix":""},{"dropping-particle":"","family":"Wright","given":"John","non-dropping-particle":"","parse-names":false,"suffix":""},{"dropping-particle":"","family":"Martinez","given":"David","non-dropping-particle":"","parse-names":false,"suffix":""},{"dropping-particle":"","family":"Basagaña","given":"Xavier","non-dropping-particle":"","parse-names":false,"suffix":""},{"dropping-particle":"","family":"Mceachan","given":"Rosemary R C","non-dropping-particle":"","parse-names":false,"suffix":""},{"dropping-particle":"","family":"Cirach","given":"Marta","non-dropping-particle":"","parse-names":false,"suffix":""},{"dropping-particle":"","family":"Gidlow","given":"Christopher J","non-dropping-particle":"","parse-names":false,"suffix":""},{"dropping-particle":"De","family":"Hoogh","given":"Kees","non-dropping-particle":"","parse-names":false,"suffix":""},{"dropping-particle":"","family":"Gra","given":"Regina","non-dropping-particle":"","parse-names":false,"suffix":""},{"dropping-particle":"","family":"Nieuwenhuijsen","given":"Mark J","non-dropping-particle":"","parse-names":false,"suffix":""}],"container-title":"Environment International","id":"ITEM-1","issued":{"date-parts":[["2014"]]},"page":"101-108","title":"Inequality, green spaces, and pregnant women: Roles of ethnicity and individual and neighbourhood socioeconomic status","type":"article-journal","volume":"71"},"uris":["http://www.mendeley.com/documents/?uuid=4344ce01-3d4d-44c8-962e-4e7e5203884a"]},{"id":"ITEM-2","itemData":{"DOI":"10.1136/jech-2015-205954","author":[{"dropping-particle":"","family":"McEachan","given":"Rosemary R C","non-dropping-particle":"","parse-names":false,"suffix":""},{"dropping-particle":"","family":"Prady","given":"S L","non-dropping-particle":"","parse-names":false,"suffix":""},{"dropping-particle":"","family":"Smith","given":"G","non-dropping-particle":"","parse-names":false,"suffix":""},{"dropping-particle":"","family":"Fairley","given":"L","non-dropping-particle":"","parse-names":false,"suffix":""},{"dropping-particle":"","family":"Cabieses","given":"B","non-dropping-particle":"","parse-names":false,"suffix":""},{"dropping-particle":"","family":"Gidlow","given":"C","non-dropping-particle":"","parse-names":false,"suffix":""},{"dropping-particle":"","family":"Wright","given":"J","non-dropping-particle":"","parse-names":false,"suffix":""},{"dropping-particle":"","family":"Dadvand","given":"P","non-dropping-particle":"","parse-names":false,"suffix":""},{"dropping-particle":"Van","family":"Gent","given":"D","non-dropping-particle":"","parse-names":false,"suffix":""},{"dropping-particle":"","family":"Nieuwenhuijsen","given":"M J","non-dropping-particle":"","parse-names":false,"suffix":""},{"dropping-particle":"","family":"Royal","given":"Bradford","non-dropping-particle":"","parse-names":false,"suffix":""}],"container-title":"Journal of Epidemiology &amp; Community Health","id":"ITEM-2","issued":{"date-parts":[["2016"]]},"page":"253-259","title":"The association between green space and depressive symptoms in pregnant women : moderating roles of socioeconomic status and physical activity","type":"article-journal","volume":"70"},"uris":["http://www.mendeley.com/documents/?uuid=f6124147-4e1a-4796-b7e8-266fc9bb01ec"]},{"id":"ITEM-3","itemData":{"DOI":"10.1016/S2542-5196(18)30119-0","ISSN":"2542-5196","author":[{"dropping-particle":"","family":"McEachan","given":"Rosemary R C","non-dropping-particle":"","parse-names":false,"suffix":""},{"dropping-particle":"","family":"Yang","given":"Tiffany C","non-dropping-particle":"","parse-names":false,"suffix":""},{"dropping-particle":"","family":"Roberts","given":"Hannah","non-dropping-particle":"","parse-names":false,"suffix":""},{"dropping-particle":"","family":"Pickett","given":"Kate E","non-dropping-particle":"","parse-names":false,"suffix":""},{"dropping-particle":"","family":"Arseneau-powell","given":"Diana","non-dropping-particle":"","parse-names":false,"suffix":""},{"dropping-particle":"","family":"Gidlow","given":"Christopher J","non-dropping-particle":"","parse-names":false,"suffix":""},{"dropping-particle":"","family":"Wright","given":"John","non-dropping-particle":"","parse-names":false,"suffix":""}],"container-title":"The Lancet Planetary Health","id":"ITEM-3","issue":"6","issued":{"date-parts":[["2018"]]},"page":"e244-e254","publisher":"The Author(s). Published by Elsevier Ltd. This is an Open Access article under the CC BY 4.0 license","title":"Availability, use of, and satisfaction with green space, and children’s mental wellbeing at age 4 years in a multicultural, deprived, urban area: results from the Born in Bradford cohort study","type":"article-journal","volume":"2"},"uris":["http://www.mendeley.com/documents/?uuid=51bb7156-b6f6-498c-8b39-450cdb7e5e1d"]}],"mendeley":{"formattedCitation":"(Dadvand et al., 2014; McEachan et al., 2018, 2016)","plainTextFormattedCitation":"(Dadvand et al., 2014; McEachan et al., 2018, 2016)","previouslyFormattedCitation":"(Dadvand et al., 2014; McEachan et al., 2018, 2016)"},"properties":{"noteIndex":0},"schema":"https://github.com/citation-style-language/schema/raw/master/csl-citation.json"}</w:instrText>
      </w:r>
      <w:r w:rsidR="00AB3829" w:rsidRPr="00A858D5">
        <w:rPr>
          <w:lang w:val="en-GB"/>
        </w:rPr>
        <w:fldChar w:fldCharType="separate"/>
      </w:r>
      <w:r w:rsidR="00113E16" w:rsidRPr="00113E16">
        <w:rPr>
          <w:noProof/>
          <w:lang w:val="en-GB"/>
        </w:rPr>
        <w:t>(Dadvand et al., 2014; McEachan et al., 2018, 2016)</w:t>
      </w:r>
      <w:r w:rsidR="00AB3829" w:rsidRPr="00A858D5">
        <w:rPr>
          <w:lang w:val="en-GB"/>
        </w:rPr>
        <w:fldChar w:fldCharType="end"/>
      </w:r>
      <w:r w:rsidR="00D80C14" w:rsidRPr="00A858D5">
        <w:rPr>
          <w:lang w:val="en-GB"/>
        </w:rPr>
        <w:t>.</w:t>
      </w:r>
      <w:r w:rsidR="00C0551B" w:rsidRPr="00A858D5">
        <w:rPr>
          <w:lang w:val="en-GB"/>
        </w:rPr>
        <w:t xml:space="preserve"> </w:t>
      </w:r>
      <w:r w:rsidR="004A50A5" w:rsidRPr="00A858D5">
        <w:rPr>
          <w:lang w:val="en-GB"/>
        </w:rPr>
        <w:t xml:space="preserve">A potential explanation for the </w:t>
      </w:r>
      <w:r w:rsidR="0025446A" w:rsidRPr="00A858D5">
        <w:rPr>
          <w:lang w:val="en-GB"/>
        </w:rPr>
        <w:t xml:space="preserve">incongruences </w:t>
      </w:r>
      <w:r w:rsidR="00C0551B" w:rsidRPr="00A858D5">
        <w:rPr>
          <w:lang w:val="en-GB"/>
        </w:rPr>
        <w:t>observed</w:t>
      </w:r>
      <w:r w:rsidR="004A50A5" w:rsidRPr="00A858D5">
        <w:rPr>
          <w:lang w:val="en-GB"/>
        </w:rPr>
        <w:t xml:space="preserve"> across studies may</w:t>
      </w:r>
      <w:r w:rsidR="00C0551B" w:rsidRPr="00A858D5">
        <w:rPr>
          <w:lang w:val="en-GB"/>
        </w:rPr>
        <w:t xml:space="preserve"> be</w:t>
      </w:r>
      <w:r w:rsidR="004A50A5" w:rsidRPr="00A858D5">
        <w:rPr>
          <w:lang w:val="en-GB"/>
        </w:rPr>
        <w:t xml:space="preserve"> </w:t>
      </w:r>
      <w:r w:rsidR="00E52CFE" w:rsidRPr="00A858D5">
        <w:rPr>
          <w:lang w:val="en-GB"/>
        </w:rPr>
        <w:t xml:space="preserve">the </w:t>
      </w:r>
      <w:r w:rsidR="00F21B10" w:rsidRPr="00A858D5">
        <w:rPr>
          <w:lang w:val="en-GB"/>
        </w:rPr>
        <w:t>focus on one single</w:t>
      </w:r>
      <w:r w:rsidR="00370F47" w:rsidRPr="00A858D5">
        <w:rPr>
          <w:lang w:val="en-GB"/>
        </w:rPr>
        <w:t xml:space="preserve"> social stratification dimension</w:t>
      </w:r>
      <w:r w:rsidR="00DD0D54" w:rsidRPr="00A858D5">
        <w:rPr>
          <w:lang w:val="en-GB"/>
        </w:rPr>
        <w:t xml:space="preserve"> (i.e.</w:t>
      </w:r>
      <w:r w:rsidR="00720071">
        <w:rPr>
          <w:lang w:val="en-GB"/>
        </w:rPr>
        <w:t>,</w:t>
      </w:r>
      <w:r w:rsidR="00DD0D54" w:rsidRPr="00A858D5">
        <w:rPr>
          <w:lang w:val="en-GB"/>
        </w:rPr>
        <w:t xml:space="preserve"> gender, SEP</w:t>
      </w:r>
      <w:r w:rsidR="00223729">
        <w:rPr>
          <w:lang w:val="en-GB"/>
        </w:rPr>
        <w:t>,</w:t>
      </w:r>
      <w:r w:rsidR="00DD0D54" w:rsidRPr="00A858D5">
        <w:rPr>
          <w:lang w:val="en-GB"/>
        </w:rPr>
        <w:t xml:space="preserve"> </w:t>
      </w:r>
      <w:r w:rsidR="00222810" w:rsidRPr="00A858D5">
        <w:rPr>
          <w:lang w:val="en-GB"/>
        </w:rPr>
        <w:t xml:space="preserve">or </w:t>
      </w:r>
      <w:r w:rsidR="00DD0D54" w:rsidRPr="00A858D5">
        <w:rPr>
          <w:lang w:val="en-GB"/>
        </w:rPr>
        <w:t>migrant background)</w:t>
      </w:r>
      <w:r w:rsidR="00E52CFE" w:rsidRPr="00A858D5">
        <w:rPr>
          <w:lang w:val="en-GB"/>
        </w:rPr>
        <w:t xml:space="preserve"> instead of using an intersectional approach. </w:t>
      </w:r>
      <w:r w:rsidR="0030341E" w:rsidRPr="00C0054A">
        <w:rPr>
          <w:lang w:val="en-GB"/>
        </w:rPr>
        <w:t xml:space="preserve">Intersectionality is a critical social theory denouncing and studying how interweaved systems of oppression (e.g., racism, capitalism or sexism) affect individual’s experiences and shape life chances, which in turn may contribute to health inequalities </w:t>
      </w:r>
      <w:r w:rsidR="0030341E" w:rsidRPr="00C0054A">
        <w:rPr>
          <w:lang w:val="en-GB"/>
        </w:rPr>
        <w:fldChar w:fldCharType="begin" w:fldLock="1"/>
      </w:r>
      <w:r w:rsidR="0030341E" w:rsidRPr="00C0054A">
        <w:rPr>
          <w:lang w:val="en-GB"/>
        </w:rPr>
        <w:instrText>ADDIN CSL_CITATION {"citationItems":[{"id":"ITEM-1","itemData":{"DOI":"https://doi.org/10.1016/j.socscimed.2017.02.029","ISSN":"0277-9536","author":[{"dropping-particle":"","family":"Green","given":"Mark A","non-dropping-particle":"","parse-names":false,"suffix":""},{"dropping-particle":"","family":"Evans","given":"Clare R","non-dropping-particle":"","parse-names":false,"suffix":""},{"dropping-particle":"V","family":"Subramanian","given":"S","non-dropping-particle":"","parse-names":false,"suffix":""}],"container-title":"Social Science &amp; Medicine","id":"ITEM-1","issued":{"date-parts":[["2017"]]},"page":"214-216","title":"Can intersectionality theory enrich population health research?","type":"article-journal","volume":"178"},"uris":["http://www.mendeley.com/documents/?uuid=cd2dc013-57cf-4e27-87b1-d7c3faa5283a"]},{"id":"ITEM-2","itemData":{"author":[{"dropping-particle":"","family":"Crenshaw","given":"Kimberle","non-dropping-particle":"","parse-names":false,"suffix":""}],"container-title":"University of Chicago Legal Forum","id":"ITEM-2","issue":"8","issued":{"date-parts":[["1989"]]},"title":"Demarginalizing the Intersection of Race and Sex: A Black Feminist Critique of Antidiscrimination Doctrine, Feminist Theory and Antiracist Politics","type":"article-journal","volume":"1989"},"uris":["http://www.mendeley.com/documents/?uuid=32481e89-822e-44cc-a89a-fbb623c64519"]}],"mendeley":{"formattedCitation":"(Crenshaw, 1989; Green et al., 2017)","plainTextFormattedCitation":"(Crenshaw, 1989; Green et al., 2017)","previouslyFormattedCitation":"(Crenshaw, 1989; Green et al., 2017)"},"properties":{"noteIndex":0},"schema":"https://github.com/citation-style-language/schema/raw/master/csl-citation.json"}</w:instrText>
      </w:r>
      <w:r w:rsidR="0030341E" w:rsidRPr="00C0054A">
        <w:rPr>
          <w:lang w:val="en-GB"/>
        </w:rPr>
        <w:fldChar w:fldCharType="separate"/>
      </w:r>
      <w:r w:rsidR="0030341E" w:rsidRPr="00C0054A">
        <w:rPr>
          <w:noProof/>
          <w:lang w:val="en-GB"/>
        </w:rPr>
        <w:t>(Crenshaw, 1989; Green et al., 2017)</w:t>
      </w:r>
      <w:r w:rsidR="0030341E" w:rsidRPr="00C0054A">
        <w:rPr>
          <w:lang w:val="en-GB"/>
        </w:rPr>
        <w:fldChar w:fldCharType="end"/>
      </w:r>
      <w:r w:rsidR="0030341E" w:rsidRPr="00C0054A">
        <w:rPr>
          <w:lang w:val="en-GB"/>
        </w:rPr>
        <w:t>. In addition to exploring how health, disease and risk factors are unequally distributed across population groups defined by gender, socioeconomic position or ethnicity, intersectionality underscores the need to move beyond and understand the relational mechanisms, i.e., the systems of oppression</w:t>
      </w:r>
      <w:r w:rsidR="00B6400D" w:rsidRPr="00C0054A">
        <w:rPr>
          <w:lang w:val="en-GB"/>
        </w:rPr>
        <w:t xml:space="preserve"> underlying these factors</w:t>
      </w:r>
      <w:r w:rsidR="0030341E" w:rsidRPr="00C0054A">
        <w:rPr>
          <w:lang w:val="en-GB"/>
        </w:rPr>
        <w:t xml:space="preserve"> </w:t>
      </w:r>
      <w:r w:rsidR="0030341E" w:rsidRPr="00C0054A">
        <w:rPr>
          <w:lang w:val="en-GB"/>
        </w:rPr>
        <w:fldChar w:fldCharType="begin" w:fldLock="1"/>
      </w:r>
      <w:r w:rsidR="0030341E" w:rsidRPr="00C0054A">
        <w:rPr>
          <w:lang w:val="en-GB"/>
        </w:rPr>
        <w:instrText>ADDIN CSL_CITATION {"citationItems":[{"id":"ITEM-1","itemData":{"DOI":"https://doi.org/10.1016/j.socscimed.2017.01.050","ISSN":"0277-9536","abstract":"Intersectionality theory can contribute to epidemiology and public health by furthering understanding of power dynamics driving production of health disparities, and increasing knowledge about heterogeneities within, and overlap between, social categories. Drawing on McCall, we relate the first of these potential contributions to categorical intersectionality and the second to anti-categorical intersectionality. Both approaches are used in study of risk of ischemic heart disease (IHD), based on register data on 3.6 million adults residing in Sweden by 2010, followed for three years. Categorical intersectionality is here coupled with between-group differences in average risk calculation, as we use intersectional categorizations while estimating odds ratios through logistic regressions. The anti-categorical approach is operationalized through measurement of discriminatory accuracy (DA), i.e., capacity to accurately categorize individuals with or without a certain outcome, through computation of the area under the curve (AUC). Our results show substantial differences in average risk between intersectional groupings. The DA of social categorizations is found to be low, however, due to outcome variability within and overlap between categories. We argue that measures of DA should be used for proper interpretation of differences in average risk between social (or any other) categories. Tension between average between-group risk and the DA of categorizations, which can be related to categorical and anti-categorical intersectional analyses, should be made explicit and discussed to a larger degree in epidemiology and public health.","author":[{"dropping-particle":"","family":"Wemrell","given":"Maria","non-dropping-particle":"","parse-names":false,"suffix":""},{"dropping-particle":"","family":"Mulinari","given":"Shai","non-dropping-particle":"","parse-names":false,"suffix":""},{"dropping-particle":"","family":"Merlo","given":"Juan","non-dropping-particle":"","parse-names":false,"suffix":""}],"container-title":"Social Science &amp; Medicine","id":"ITEM-1","issued":{"date-parts":[["2017"]]},"page":"213-222","title":"Intersectionality and risk for ischemic heart disease in Sweden: Categorical and anti-categorical approaches","type":"article-journal","volume":"177"},"uris":["http://www.mendeley.com/documents/?uuid=f9c10b0f-a7d7-41e1-aeab-67d80beb5cfa"]}],"mendeley":{"formattedCitation":"(Wemrell et al., 2017)","plainTextFormattedCitation":"(Wemrell et al., 2017)","previouslyFormattedCitation":"(Wemrell et al., 2017)"},"properties":{"noteIndex":0},"schema":"https://github.com/citation-style-language/schema/raw/master/csl-citation.json"}</w:instrText>
      </w:r>
      <w:r w:rsidR="0030341E" w:rsidRPr="00C0054A">
        <w:rPr>
          <w:lang w:val="en-GB"/>
        </w:rPr>
        <w:fldChar w:fldCharType="separate"/>
      </w:r>
      <w:r w:rsidR="0030341E" w:rsidRPr="00C0054A">
        <w:rPr>
          <w:noProof/>
          <w:lang w:val="en-GB"/>
        </w:rPr>
        <w:t>(Wemrell et al., 2017)</w:t>
      </w:r>
      <w:r w:rsidR="0030341E" w:rsidRPr="00C0054A">
        <w:rPr>
          <w:lang w:val="en-GB"/>
        </w:rPr>
        <w:fldChar w:fldCharType="end"/>
      </w:r>
      <w:r w:rsidR="0030341E" w:rsidRPr="00C0054A">
        <w:rPr>
          <w:lang w:val="en-GB"/>
        </w:rPr>
        <w:t>. Therefore, epidemiological</w:t>
      </w:r>
      <w:r w:rsidR="0030341E" w:rsidRPr="00C0054A">
        <w:rPr>
          <w:i/>
          <w:iCs/>
          <w:lang w:val="en-GB"/>
        </w:rPr>
        <w:t xml:space="preserve"> </w:t>
      </w:r>
      <w:r w:rsidR="00B4112C" w:rsidRPr="00C0054A">
        <w:rPr>
          <w:szCs w:val="22"/>
          <w:lang w:val="en-GB"/>
        </w:rPr>
        <w:t xml:space="preserve">research focusing on a single dimension of social stratification might yield biased estimations of health inequalities </w:t>
      </w:r>
      <w:r w:rsidR="00B4112C" w:rsidRPr="00C0054A">
        <w:rPr>
          <w:szCs w:val="22"/>
          <w:lang w:val="en-GB"/>
        </w:rPr>
        <w:fldChar w:fldCharType="begin" w:fldLock="1"/>
      </w:r>
      <w:r w:rsidR="00B4112C" w:rsidRPr="00C0054A">
        <w:rPr>
          <w:szCs w:val="22"/>
          <w:lang w:val="en-GB"/>
        </w:rPr>
        <w:instrText>ADDIN CSL_CITATION {"citationItems":[{"id":"ITEM-1","itemData":{"DOI":"10.1016/j.socscimed.2009.07.021","ISSN":"0277-9536","author":[{"dropping-particle":"","family":"Bates","given":"Lisa Michelle","non-dropping-particle":"","parse-names":false,"suffix":""},{"dropping-particle":"","family":"Hankivsky","given":"Olena","non-dropping-particle":"","parse-names":false,"suffix":""},{"dropping-particle":"","family":"Springer","given":"Kristen W","non-dropping-particle":"","parse-names":false,"suffix":""}],"container-title":"Social Science &amp; Medicine","id":"ITEM-1","issued":{"date-parts":[["2009"]]},"page":"1002-1004","publisher":"Elsevier Ltd","title":"Gender and health inequities : A comment on the Final Report of the WHO Commission on the Social Determinants of Health","type":"article-journal","volume":"69"},"uris":["http://www.mendeley.com/documents/?uuid=9cc37168-e4f4-4158-9883-4ea2e88e118a"]}],"mendeley":{"formattedCitation":"(Bates et al., 2009)","plainTextFormattedCitation":"(Bates et al., 2009)","previouslyFormattedCitation":"(Bates et al., 2009)"},"properties":{"noteIndex":0},"schema":"https://github.com/citation-style-language/schema/raw/master/csl-citation.json"}</w:instrText>
      </w:r>
      <w:r w:rsidR="00B4112C" w:rsidRPr="00C0054A">
        <w:rPr>
          <w:szCs w:val="22"/>
          <w:lang w:val="en-GB"/>
        </w:rPr>
        <w:fldChar w:fldCharType="separate"/>
      </w:r>
      <w:r w:rsidR="00B4112C" w:rsidRPr="00C0054A">
        <w:rPr>
          <w:noProof/>
          <w:szCs w:val="22"/>
          <w:lang w:val="en-GB"/>
        </w:rPr>
        <w:t>(Bates et al., 2009)</w:t>
      </w:r>
      <w:r w:rsidR="00B4112C" w:rsidRPr="00C0054A">
        <w:rPr>
          <w:szCs w:val="22"/>
          <w:lang w:val="en-GB"/>
        </w:rPr>
        <w:fldChar w:fldCharType="end"/>
      </w:r>
      <w:r w:rsidR="00B4112C" w:rsidRPr="00C0054A">
        <w:rPr>
          <w:szCs w:val="22"/>
          <w:lang w:val="en-GB"/>
        </w:rPr>
        <w:t>, since</w:t>
      </w:r>
      <w:r w:rsidR="00B4112C" w:rsidRPr="00C0054A">
        <w:rPr>
          <w:lang w:val="en-GB"/>
        </w:rPr>
        <w:t xml:space="preserve"> aforementioned dimensions act simultaneously in producing social </w:t>
      </w:r>
      <w:r w:rsidR="00B4112C" w:rsidRPr="00C0054A">
        <w:rPr>
          <w:szCs w:val="22"/>
          <w:lang w:val="en-GB"/>
        </w:rPr>
        <w:t xml:space="preserve">inequalities </w:t>
      </w:r>
      <w:r w:rsidR="00B4112C" w:rsidRPr="00C0054A">
        <w:rPr>
          <w:szCs w:val="22"/>
          <w:lang w:val="en-GB"/>
        </w:rPr>
        <w:fldChar w:fldCharType="begin" w:fldLock="1"/>
      </w:r>
      <w:r w:rsidR="00B4112C" w:rsidRPr="00C0054A">
        <w:rPr>
          <w:szCs w:val="22"/>
          <w:lang w:val="en-GB"/>
        </w:rPr>
        <w:instrText>ADDIN CSL_CITATION {"citationItems":[{"id":"ITEM-1","itemData":{"DOI":"10.1016/j.socscimed.2014.03.022","ISSN":"0277-9536","author":[{"dropping-particle":"","family":"Bauer","given":"Greta R","non-dropping-particle":"","parse-names":false,"suffix":""}],"container-title":"Social Science &amp; Medicine","id":"ITEM-1","issued":{"date-parts":[["2014"]]},"page":"10-17","publisher":"Elsevier Ltd","title":"Incorporating intersectionality theory into population health research methodology: Challenges and the potential to advance health equity","type":"article-journal","volume":"110"},"uris":["http://www.mendeley.com/documents/?uuid=60400b6a-0b20-4506-8759-80e206bfe25c"]}],"mendeley":{"formattedCitation":"(Bauer, 2014)","plainTextFormattedCitation":"(Bauer, 2014)","previouslyFormattedCitation":"(Bauer, 2014)"},"properties":{"noteIndex":0},"schema":"https://github.com/citation-style-language/schema/raw/master/csl-citation.json"}</w:instrText>
      </w:r>
      <w:r w:rsidR="00B4112C" w:rsidRPr="00C0054A">
        <w:rPr>
          <w:szCs w:val="22"/>
          <w:lang w:val="en-GB"/>
        </w:rPr>
        <w:fldChar w:fldCharType="separate"/>
      </w:r>
      <w:r w:rsidR="00B4112C" w:rsidRPr="00C0054A">
        <w:rPr>
          <w:noProof/>
          <w:szCs w:val="22"/>
          <w:lang w:val="en-GB"/>
        </w:rPr>
        <w:t>(Bauer, 2014)</w:t>
      </w:r>
      <w:r w:rsidR="00B4112C" w:rsidRPr="00C0054A">
        <w:rPr>
          <w:szCs w:val="22"/>
          <w:lang w:val="en-GB"/>
        </w:rPr>
        <w:fldChar w:fldCharType="end"/>
      </w:r>
      <w:r w:rsidR="00B4112C" w:rsidRPr="00C0054A">
        <w:rPr>
          <w:szCs w:val="22"/>
          <w:lang w:val="en-GB"/>
        </w:rPr>
        <w:t>.</w:t>
      </w:r>
      <w:r w:rsidR="00B4112C" w:rsidRPr="00C0054A">
        <w:rPr>
          <w:i/>
          <w:iCs/>
          <w:szCs w:val="22"/>
          <w:lang w:val="en-GB"/>
        </w:rPr>
        <w:t xml:space="preserve"> </w:t>
      </w:r>
      <w:r w:rsidR="0030341E" w:rsidRPr="00C0054A">
        <w:rPr>
          <w:szCs w:val="22"/>
          <w:lang w:val="en-GB"/>
        </w:rPr>
        <w:t xml:space="preserve">The most common way to approach intersectionality is through the categorisation of individuals into social strata resulting from the combination of different dimensions of inequality, named the inter-categorical approach </w:t>
      </w:r>
      <w:r w:rsidR="0030341E" w:rsidRPr="00C0054A">
        <w:rPr>
          <w:szCs w:val="22"/>
          <w:lang w:val="en-GB"/>
        </w:rPr>
        <w:fldChar w:fldCharType="begin" w:fldLock="1"/>
      </w:r>
      <w:r w:rsidR="0030341E" w:rsidRPr="00C0054A">
        <w:rPr>
          <w:szCs w:val="22"/>
          <w:lang w:val="en-GB"/>
        </w:rPr>
        <w:instrText>ADDIN CSL_CITATION {"citationItems":[{"id":"ITEM-1","itemData":{"DOI":"https://doi.org/10.1016/j.socscimed.2017.02.029","ISSN":"0277-9536","author":[{"dropping-particle":"","family":"Green","given":"Mark A","non-dropping-particle":"","parse-names":false,"suffix":""},{"dropping-particle":"","family":"Evans","given":"Clare R","non-dropping-particle":"","parse-names":false,"suffix":""},{"dropping-particle":"V","family":"Subramanian","given":"S","non-dropping-particle":"","parse-names":false,"suffix":""}],"container-title":"Social Science &amp; Medicine","id":"ITEM-1","issued":{"date-parts":[["2017"]]},"page":"214-216","title":"Can intersectionality theory enrich population health research?","type":"article-journal","volume":"178"},"uris":["http://www.mendeley.com/documents/?uuid=cd2dc013-57cf-4e27-87b1-d7c3faa5283a"]},{"id":"ITEM-2","itemData":{"DOI":"https://doi.org/10.1016/j.socscimed.2019.01.017","ISSN":"0277-9536","abstract":"Background The recent pair of studies by Bauer and Scheim make substantial contributions to the literature on intersectionality and health: a validation study of the Intersectional Discrimination Index and a study outlining a promising analytic approach to intersectionality that explicitly considers the roles of social processes in the production of health inequalities. Rationale In this commentary, I situate Bauer and Scheim's contribution within the wider landscape of intersectional scholarship. I also respond to emerging concerns about the value of descriptive intersectional approaches, in particular the critique that such approaches blunt the critical edge and transformative aims of intersectionality. Finally, I outline important future directions for intersectional scholarship modeling social processes, in particular, the need for addressing structural determinants of inequalities intersectionally. Conclusions Whether a study is descriptive or analytic, engagement with theory is essential in order to maintain the critical and transformative edge of intersectionality. Theories of population health such as fundamental causes, social production, and ecosocial theory, should be framed and applied in explicitly intersectional terms. As the field moves toward intersectional evaluations of social processes, attention should be given to all ecological levels but especially the structural/institutional level. This attention includes considering interactions between intersectional social strata and contexts and considering the roles of structural-level discrimination in shaping population health outcomes intersectionally.","author":[{"dropping-particle":"","family":"Evans","given":"Clare R","non-dropping-particle":"","parse-names":false,"suffix":""}],"container-title":"Social Science &amp; Medicine","id":"ITEM-2","issued":{"date-parts":[["2019"]]},"page":"249-253","title":"Modeling the intersectionality of processes in the social production of health inequalities","type":"article-journal","volume":"226"},"uris":["http://www.mendeley.com/documents/?uuid=7f7daf33-eb89-4df6-a620-ce139f2b7b78"]}],"mendeley":{"formattedCitation":"(Evans, 2019a; Green et al., 2017)","plainTextFormattedCitation":"(Evans, 2019a; Green et al., 2017)","previouslyFormattedCitation":"(Evans, 2019a; Green et al., 2017)"},"properties":{"noteIndex":0},"schema":"https://github.com/citation-style-language/schema/raw/master/csl-citation.json"}</w:instrText>
      </w:r>
      <w:r w:rsidR="0030341E" w:rsidRPr="00C0054A">
        <w:rPr>
          <w:szCs w:val="22"/>
          <w:lang w:val="en-GB"/>
        </w:rPr>
        <w:fldChar w:fldCharType="separate"/>
      </w:r>
      <w:r w:rsidR="0030341E" w:rsidRPr="00C0054A">
        <w:rPr>
          <w:noProof/>
          <w:szCs w:val="22"/>
          <w:lang w:val="en-GB"/>
        </w:rPr>
        <w:t>(Evans, 2019a; Green et al., 2017)</w:t>
      </w:r>
      <w:r w:rsidR="0030341E" w:rsidRPr="00C0054A">
        <w:rPr>
          <w:szCs w:val="22"/>
          <w:lang w:val="en-GB"/>
        </w:rPr>
        <w:fldChar w:fldCharType="end"/>
      </w:r>
      <w:r w:rsidR="0030341E" w:rsidRPr="00C0054A">
        <w:rPr>
          <w:szCs w:val="22"/>
          <w:lang w:val="en-GB"/>
        </w:rPr>
        <w:t xml:space="preserve">. </w:t>
      </w:r>
      <w:r w:rsidR="00A22728" w:rsidRPr="00C0054A">
        <w:rPr>
          <w:szCs w:val="22"/>
          <w:lang w:val="en-GB"/>
        </w:rPr>
        <w:t>T</w:t>
      </w:r>
      <w:r w:rsidR="0030341E" w:rsidRPr="00C0054A">
        <w:rPr>
          <w:szCs w:val="22"/>
          <w:lang w:val="en-GB"/>
        </w:rPr>
        <w:t xml:space="preserve">his method has been criticized for using rigid social </w:t>
      </w:r>
      <w:r w:rsidR="00D5450C" w:rsidRPr="00C0054A">
        <w:rPr>
          <w:szCs w:val="22"/>
          <w:lang w:val="en-GB"/>
        </w:rPr>
        <w:t>positions</w:t>
      </w:r>
      <w:r w:rsidR="0030341E" w:rsidRPr="00C0054A">
        <w:rPr>
          <w:szCs w:val="22"/>
          <w:lang w:val="en-GB"/>
        </w:rPr>
        <w:t xml:space="preserve">, therefore overlooking potential heterogeneity within groups and/or overlapping of different social categories </w:t>
      </w:r>
      <w:r w:rsidR="0030341E" w:rsidRPr="00C0054A">
        <w:rPr>
          <w:szCs w:val="22"/>
          <w:lang w:val="en-GB"/>
        </w:rPr>
        <w:fldChar w:fldCharType="begin" w:fldLock="1"/>
      </w:r>
      <w:r w:rsidR="0030341E" w:rsidRPr="00C0054A">
        <w:rPr>
          <w:szCs w:val="22"/>
          <w:lang w:val="en-GB"/>
        </w:rPr>
        <w:instrText>ADDIN CSL_CITATION {"citationItems":[{"id":"ITEM-1","itemData":{"DOI":"10.1016/j.socscimed.2014.03.022","ISSN":"0277-9536","author":[{"dropping-particle":"","family":"Bauer","given":"Greta R","non-dropping-particle":"","parse-names":false,"suffix":""}],"container-title":"Social Science &amp; Medicine","id":"ITEM-1","issued":{"date-parts":[["2014"]]},"page":"10-17","publisher":"Elsevier Ltd","title":"Incorporating intersectionality theory into population health research methodology: Challenges and the potential to advance health equity","type":"article-journal","volume":"110"},"uris":["http://www.mendeley.com/documents/?uuid=60400b6a-0b20-4506-8759-80e206bfe25c"]},{"id":"ITEM-2","itemData":{"DOI":"https://doi.org/10.1016/j.socscimed.2017.01.050","ISSN":"0277-9536","abstract":"Intersectionality theory can contribute to epidemiology and public health by furthering understanding of power dynamics driving production of health disparities, and increasing knowledge about heterogeneities within, and overlap between, social categories. Drawing on McCall, we relate the first of these potential contributions to categorical intersectionality and the second to anti-categorical intersectionality. Both approaches are used in study of risk of ischemic heart disease (IHD), based on register data on 3.6 million adults residing in Sweden by 2010, followed for three years. Categorical intersectionality is here coupled with between-group differences in average risk calculation, as we use intersectional categorizations while estimating odds ratios through logistic regressions. The anti-categorical approach is operationalized through measurement of discriminatory accuracy (DA), i.e., capacity to accurately categorize individuals with or without a certain outcome, through computation of the area under the curve (AUC). Our results show substantial differences in average risk between intersectional groupings. The DA of social categorizations is found to be low, however, due to outcome variability within and overlap between categories. We argue that measures of DA should be used for proper interpretation of differences in average risk between social (or any other) categories. Tension between average between-group risk and the DA of categorizations, which can be related to categorical and anti-categorical intersectional analyses, should be made explicit and discussed to a larger degree in epidemiology and public health.","author":[{"dropping-particle":"","family":"Wemrell","given":"Maria","non-dropping-particle":"","parse-names":false,"suffix":""},{"dropping-particle":"","family":"Mulinari","given":"Shai","non-dropping-particle":"","parse-names":false,"suffix":""},{"dropping-particle":"","family":"Merlo","given":"Juan","non-dropping-particle":"","parse-names":false,"suffix":""}],"container-title":"Social Science &amp; Medicine","id":"ITEM-2","issued":{"date-parts":[["2017"]]},"page":"213-222","title":"Intersectionality and risk for ischemic heart disease in Sweden: Categorical and anti-categorical approaches","type":"article-journal","volume":"177"},"uris":["http://www.mendeley.com/documents/?uuid=f9c10b0f-a7d7-41e1-aeab-67d80beb5cfa"]}],"mendeley":{"formattedCitation":"(Bauer, 2014; Wemrell et al., 2017)","plainTextFormattedCitation":"(Bauer, 2014; Wemrell et al., 2017)","previouslyFormattedCitation":"(Bauer, 2014; Wemrell et al., 2017)"},"properties":{"noteIndex":0},"schema":"https://github.com/citation-style-language/schema/raw/master/csl-citation.json"}</w:instrText>
      </w:r>
      <w:r w:rsidR="0030341E" w:rsidRPr="00C0054A">
        <w:rPr>
          <w:szCs w:val="22"/>
          <w:lang w:val="en-GB"/>
        </w:rPr>
        <w:fldChar w:fldCharType="separate"/>
      </w:r>
      <w:r w:rsidR="0030341E" w:rsidRPr="00C0054A">
        <w:rPr>
          <w:noProof/>
          <w:szCs w:val="22"/>
          <w:lang w:val="en-GB"/>
        </w:rPr>
        <w:t>(Bauer, 2014; Wemrell et al., 2017)</w:t>
      </w:r>
      <w:r w:rsidR="0030341E" w:rsidRPr="00C0054A">
        <w:rPr>
          <w:szCs w:val="22"/>
          <w:lang w:val="en-GB"/>
        </w:rPr>
        <w:fldChar w:fldCharType="end"/>
      </w:r>
      <w:r w:rsidR="00A22728" w:rsidRPr="00C0054A">
        <w:rPr>
          <w:szCs w:val="22"/>
          <w:lang w:val="en-GB"/>
        </w:rPr>
        <w:t>. It is however</w:t>
      </w:r>
      <w:r w:rsidR="0030341E" w:rsidRPr="00C0054A">
        <w:rPr>
          <w:szCs w:val="22"/>
          <w:lang w:val="en-GB"/>
        </w:rPr>
        <w:t xml:space="preserve"> still considered as a useful </w:t>
      </w:r>
      <w:r w:rsidR="00A22728" w:rsidRPr="00C0054A">
        <w:rPr>
          <w:szCs w:val="22"/>
          <w:lang w:val="en-GB"/>
        </w:rPr>
        <w:t xml:space="preserve">and </w:t>
      </w:r>
      <w:r w:rsidR="0030341E" w:rsidRPr="00C0054A">
        <w:rPr>
          <w:szCs w:val="22"/>
          <w:lang w:val="en-GB"/>
        </w:rPr>
        <w:t>comprehensive analytical tool to explore and enhance understanding</w:t>
      </w:r>
      <w:r w:rsidR="00A22728" w:rsidRPr="00C0054A">
        <w:rPr>
          <w:szCs w:val="22"/>
          <w:lang w:val="en-GB"/>
        </w:rPr>
        <w:t>s</w:t>
      </w:r>
      <w:r w:rsidR="0030341E" w:rsidRPr="00C0054A">
        <w:rPr>
          <w:szCs w:val="22"/>
          <w:lang w:val="en-GB"/>
        </w:rPr>
        <w:t xml:space="preserve"> of societal power dynamics </w:t>
      </w:r>
      <w:r w:rsidR="0030341E" w:rsidRPr="00C0054A">
        <w:rPr>
          <w:szCs w:val="22"/>
          <w:lang w:val="en-GB"/>
        </w:rPr>
        <w:fldChar w:fldCharType="begin" w:fldLock="1"/>
      </w:r>
      <w:r w:rsidR="0030341E" w:rsidRPr="00C0054A">
        <w:rPr>
          <w:szCs w:val="22"/>
          <w:lang w:val="en-GB"/>
        </w:rPr>
        <w:instrText>ADDIN CSL_CITATION {"citationItems":[{"id":"ITEM-1","itemData":{"DOI":"10.1057/sth.2015.16","ISSN":"1477-822X","abstract":"The concept of intersectionality was developed by social scientists seeking to analyse the multiple interacting influences of social location, identity and historical oppression. Despite broad take-up elsewhere, its application in public health remains underdeveloped. We consider how health inequalities research in the United Kingdom has predominantly taken class and later socioeconomic position as its key axis in a manner that tends to overlook other crucial dimensions. We especially focus on international research on ethnicity, gender and caste to argue that an intersectional perspective is relevant for health inequalities research because it compels researchers to move beyond (but not ignore) class and socioeconomic position in analysing the structural determinants of health. Drawing on these theoretical developments, we argue for an inter-categorical conceptualisation of social location that recognises differentiation without reifying social groupings – thus encouraging researchers to focus on social dynamics rather than social categories, recognising that experiences of advantage and disadvantage reflect the exercise of power across social institutions. Such an understanding may help address the historic tendency of health inequalities research to privilege methodological issues and consider different axes of inequality in isolation from one another, encouraging researchers to move beyond micro-level behaviours to consider the structural drivers of inequalities.","author":[{"dropping-particle":"","family":"Kapilashrami","given":"Anuj","non-dropping-particle":"","parse-names":false,"suffix":""},{"dropping-particle":"","family":"Hill","given":"Sarah","non-dropping-particle":"","parse-names":false,"suffix":""},{"dropping-particle":"","family":"Meer","given":"Nasar","non-dropping-particle":"","parse-names":false,"suffix":""}],"container-title":"Social Theory &amp; Health","id":"ITEM-1","issue":"3","issued":{"date-parts":[["2015"]]},"page":"288-307","title":"What can health inequalities researchers learn from an intersectionality perspective? Understanding social dynamics with an inter-categorical approach?","type":"article-journal","volume":"13"},"uris":["http://www.mendeley.com/documents/?uuid=4b7a22c8-e5ef-41c6-ad8a-8f49492c9b48"]},{"id":"ITEM-2","itemData":{"DOI":"https://doi.org/10.1016/j.socscimed.2017.02.029","ISSN":"0277-9536","author":[{"dropping-particle":"","family":"Green","given":"Mark A","non-dropping-particle":"","parse-names":false,"suffix":""},{"dropping-particle":"","family":"Evans","given":"Clare R","non-dropping-particle":"","parse-names":false,"suffix":""},{"dropping-particle":"V","family":"Subramanian","given":"S","non-dropping-particle":"","parse-names":false,"suffix":""}],"container-title":"Social Science &amp; Medicine","id":"ITEM-2","issued":{"date-parts":[["2017"]]},"page":"214-216","title":"Can intersectionality theory enrich population health research?","type":"article-journal","volume":"178"},"uris":["http://www.mendeley.com/documents/?uuid=cd2dc013-57cf-4e27-87b1-d7c3faa5283a"]}],"mendeley":{"formattedCitation":"(Green et al., 2017; Kapilashrami et al., 2015)","plainTextFormattedCitation":"(Green et al., 2017; Kapilashrami et al., 2015)","previouslyFormattedCitation":"(Green et al., 2017; Kapilashrami et al., 2015)"},"properties":{"noteIndex":0},"schema":"https://github.com/citation-style-language/schema/raw/master/csl-citation.json"}</w:instrText>
      </w:r>
      <w:r w:rsidR="0030341E" w:rsidRPr="00C0054A">
        <w:rPr>
          <w:szCs w:val="22"/>
          <w:lang w:val="en-GB"/>
        </w:rPr>
        <w:fldChar w:fldCharType="separate"/>
      </w:r>
      <w:r w:rsidR="0030341E" w:rsidRPr="00C0054A">
        <w:rPr>
          <w:noProof/>
          <w:szCs w:val="22"/>
          <w:lang w:val="en-GB"/>
        </w:rPr>
        <w:t>(Green et al., 2017; Kapilashrami et al., 2015)</w:t>
      </w:r>
      <w:r w:rsidR="0030341E" w:rsidRPr="00C0054A">
        <w:rPr>
          <w:szCs w:val="22"/>
          <w:lang w:val="en-GB"/>
        </w:rPr>
        <w:fldChar w:fldCharType="end"/>
      </w:r>
      <w:r w:rsidR="0030341E" w:rsidRPr="00C0054A">
        <w:rPr>
          <w:szCs w:val="22"/>
          <w:lang w:val="en-GB"/>
        </w:rPr>
        <w:t xml:space="preserve">. This approach has been framed </w:t>
      </w:r>
      <w:r w:rsidR="00A22728" w:rsidRPr="00C0054A">
        <w:rPr>
          <w:szCs w:val="22"/>
          <w:lang w:val="en-GB"/>
        </w:rPr>
        <w:t xml:space="preserve">as </w:t>
      </w:r>
      <w:r w:rsidR="0030341E" w:rsidRPr="00C0054A">
        <w:rPr>
          <w:szCs w:val="22"/>
          <w:lang w:val="en-GB"/>
        </w:rPr>
        <w:t>“descriptive intersectionality”, focusing on heterogeneity in health outcomes across social strata</w:t>
      </w:r>
      <w:r w:rsidR="00A22728" w:rsidRPr="00C0054A">
        <w:rPr>
          <w:szCs w:val="22"/>
          <w:lang w:val="en-GB"/>
        </w:rPr>
        <w:t xml:space="preserve">. It is </w:t>
      </w:r>
      <w:r w:rsidR="0030341E" w:rsidRPr="00C0054A">
        <w:rPr>
          <w:szCs w:val="22"/>
          <w:lang w:val="en-GB"/>
        </w:rPr>
        <w:t>contrast</w:t>
      </w:r>
      <w:r w:rsidR="00A22728" w:rsidRPr="00C0054A">
        <w:rPr>
          <w:szCs w:val="22"/>
          <w:lang w:val="en-GB"/>
        </w:rPr>
        <w:t>ed</w:t>
      </w:r>
      <w:r w:rsidR="0030341E" w:rsidRPr="00C0054A">
        <w:rPr>
          <w:szCs w:val="22"/>
          <w:lang w:val="en-GB"/>
        </w:rPr>
        <w:t xml:space="preserve"> with “analytic intersectionality”, which aims at understanding heterogeneity in the social processes driving health inequalities </w:t>
      </w:r>
      <w:r w:rsidR="0030341E" w:rsidRPr="00C0054A">
        <w:rPr>
          <w:szCs w:val="22"/>
          <w:lang w:val="en-GB"/>
        </w:rPr>
        <w:fldChar w:fldCharType="begin" w:fldLock="1"/>
      </w:r>
      <w:r w:rsidR="0075272A" w:rsidRPr="00C0054A">
        <w:rPr>
          <w:szCs w:val="22"/>
          <w:lang w:val="en-GB"/>
        </w:rPr>
        <w:instrText>ADDIN CSL_CITATION {"citationItems":[{"id":"ITEM-1","itemData":{"DOI":"https://doi.org/10.1016/j.socscimed.2018.12.015","ISSN":"0277-9536","abstract":"Rationale Intersectionality as a theoretical framework has gained prominence in qualitative research on social inequity. Intercategorical quantitative applications have focused primarily on describing health or social inequalities across intersectional groups, coded using cross-classified categories or interaction terms. This descriptive intersectionality omits consideration of the mediating processes (e.g., discrimination) through which intersectional positions impact outcome inequalities, which offer opportunities for intervention. Objective We argue for the importance of a quantitative analytic intersectionality. We identify methodological challenges and potential solutions in structuring studies to allow for both intersectional heterogeneity in outcomes and in the ways that processes such as discrimination may cause these outcomes for those at different intersections. Method To incorporate both mediation and exposure-mediator interaction, we use VanderWeele's three-way decomposition methodology, adapt the interpretation for application to analytic intersectionality studies, and present a step-by-step analytic approach. Using online panel data collected from Canada and the United States in 2016 (N = 2542), we illustrate this approach with a statistical analysis of whether and to what extent observed inequalities in psychological distress across intersections of ethnoracial group and sexual or gender minority (SGM) status may be explained by past-year experiences of day-to-day discrimination, assessed using the Intersectional Discrimination Index (InDI). Results and conclusions We describe actual and adjusted intersectional inequalities in psychological distress and decompose them to identify three component effects for each of 11 intersectional comparison groups (e.g., Indigenous SGM), versus the reference intersectional group that experienced the lowest levels of discrimination (white non-SGM). These reflect the expected inequality in outcome: 1) due to membership in the more discriminated-against group, if its members had experienced the same lower levels of discrimination as the reference intersection; 2) due to unequal levels of discrimination; and 3), due to unequal effects of discrimination. We present considerations for use and interpretation of these methods.","author":[{"dropping-particle":"","family":"Bauer","given":"Greta R","non-dropping-particle":"","parse-names":false,"suffix":""},{"dropping-particle":"","family":"Scheim","given":"Ayden I","non-dropping-particle":"","parse-names":false,"suffix":""}],"container-title":"Social Science &amp; Medicine","id":"ITEM-1","issued":{"date-parts":[["2019"]]},"page":"236-245","title":"Methods for analytic intercategorical intersectionality in quantitative research: Discrimination as a mediator of health inequalities","type":"article-journal","volume":"226"},"uris":["http://www.mendeley.com/documents/?uuid=bbdb1e6a-8997-48fc-8865-e546e055999d"]}],"mendeley":{"formattedCitation":"(Bauer and Scheim, 2019)","plainTextFormattedCitation":"(Bauer and Scheim, 2019)","previouslyFormattedCitation":"(Bauer and Scheim, 2019)"},"properties":{"noteIndex":0},"schema":"https://github.com/citation-style-language/schema/raw/master/csl-citation.json"}</w:instrText>
      </w:r>
      <w:r w:rsidR="0030341E" w:rsidRPr="00C0054A">
        <w:rPr>
          <w:szCs w:val="22"/>
          <w:lang w:val="en-GB"/>
        </w:rPr>
        <w:fldChar w:fldCharType="separate"/>
      </w:r>
      <w:r w:rsidR="0030341E" w:rsidRPr="00C0054A">
        <w:rPr>
          <w:noProof/>
          <w:szCs w:val="22"/>
          <w:lang w:val="en-GB"/>
        </w:rPr>
        <w:t>(Bauer and Scheim, 2019)</w:t>
      </w:r>
      <w:r w:rsidR="0030341E" w:rsidRPr="00C0054A">
        <w:rPr>
          <w:szCs w:val="22"/>
          <w:lang w:val="en-GB"/>
        </w:rPr>
        <w:fldChar w:fldCharType="end"/>
      </w:r>
      <w:r w:rsidR="0030341E" w:rsidRPr="00C0054A">
        <w:rPr>
          <w:szCs w:val="22"/>
          <w:lang w:val="en-GB"/>
        </w:rPr>
        <w:t>.</w:t>
      </w:r>
    </w:p>
    <w:p w14:paraId="6C925FBC" w14:textId="0BA8AE6E" w:rsidR="00F83D4A" w:rsidRPr="00C0054A" w:rsidRDefault="0030341E" w:rsidP="00A702DB">
      <w:pPr>
        <w:rPr>
          <w:szCs w:val="22"/>
          <w:lang w:val="en-GB"/>
        </w:rPr>
      </w:pPr>
      <w:r w:rsidRPr="00C0054A">
        <w:rPr>
          <w:szCs w:val="22"/>
          <w:lang w:val="en-GB"/>
        </w:rPr>
        <w:t xml:space="preserve">Intersectionality theory aligns with advocacy for </w:t>
      </w:r>
      <w:r w:rsidR="00413893" w:rsidRPr="00C0054A">
        <w:rPr>
          <w:szCs w:val="22"/>
          <w:lang w:val="en-GB"/>
        </w:rPr>
        <w:t xml:space="preserve">the </w:t>
      </w:r>
      <w:r w:rsidRPr="00C0054A">
        <w:rPr>
          <w:szCs w:val="22"/>
          <w:lang w:val="en-GB"/>
        </w:rPr>
        <w:t>implementation of proportionate universalism,</w:t>
      </w:r>
      <w:r w:rsidR="00413893" w:rsidRPr="00C0054A">
        <w:rPr>
          <w:szCs w:val="22"/>
          <w:lang w:val="en-GB"/>
        </w:rPr>
        <w:t xml:space="preserve"> a policy approach towards</w:t>
      </w:r>
      <w:r w:rsidRPr="00C0054A">
        <w:rPr>
          <w:szCs w:val="22"/>
          <w:lang w:val="en-GB"/>
        </w:rPr>
        <w:t xml:space="preserve"> </w:t>
      </w:r>
      <w:r w:rsidR="00735321" w:rsidRPr="00C0054A">
        <w:rPr>
          <w:szCs w:val="22"/>
          <w:lang w:val="en-GB"/>
        </w:rPr>
        <w:t xml:space="preserve">a greater </w:t>
      </w:r>
      <w:r w:rsidR="00E90183" w:rsidRPr="00C0054A">
        <w:rPr>
          <w:szCs w:val="22"/>
          <w:lang w:val="en-GB"/>
        </w:rPr>
        <w:t xml:space="preserve">emphasis of </w:t>
      </w:r>
      <w:r w:rsidRPr="00C0054A">
        <w:rPr>
          <w:szCs w:val="22"/>
          <w:lang w:val="en-GB"/>
        </w:rPr>
        <w:t xml:space="preserve">health interventions on more disadvantaged population groups </w:t>
      </w:r>
      <w:r w:rsidRPr="00C0054A">
        <w:rPr>
          <w:szCs w:val="22"/>
          <w:lang w:val="en-GB"/>
        </w:rPr>
        <w:fldChar w:fldCharType="begin" w:fldLock="1"/>
      </w:r>
      <w:r w:rsidRPr="00C0054A">
        <w:rPr>
          <w:szCs w:val="22"/>
          <w:lang w:val="en-GB"/>
        </w:rPr>
        <w:instrText>ADDIN CSL_CITATION {"citationItems":[{"id":"ITEM-1","itemData":{"author":[{"dropping-particle":"","family":"Marmot","given":"Michael","non-dropping-particle":"","parse-names":false,"suffix":""},{"dropping-particle":"","family":"Allen","given":"Jessica","non-dropping-particle":"","parse-names":false,"suffix":""},{"dropping-particle":"","family":"Boyce","given":"T","non-dropping-particle":"","parse-names":false,"suffix":""},{"dropping-particle":"","family":"Goldblatt","given":"P","non-dropping-particle":"","parse-names":false,"suffix":""},{"dropping-particle":"","family":"Morrison","given":"Joana","non-dropping-particle":"","parse-names":false,"suffix":""}],"id":"ITEM-1","issued":{"date-parts":[["2020"]]},"publisher-place":"London","title":"Health equity in England: the Marmot review 10 years on","type":"report"},"uris":["http://www.mendeley.com/documents/?uuid=9aba0a55-a3a8-4ba1-be0f-fc631ddc40c2"]}],"mendeley":{"formattedCitation":"(Marmot et al., 2020)","plainTextFormattedCitation":"(Marmot et al., 2020)","previouslyFormattedCitation":"(Marmot et al., 2020)"},"properties":{"noteIndex":0},"schema":"https://github.com/citation-style-language/schema/raw/master/csl-citation.json"}</w:instrText>
      </w:r>
      <w:r w:rsidRPr="00C0054A">
        <w:rPr>
          <w:szCs w:val="22"/>
          <w:lang w:val="en-GB"/>
        </w:rPr>
        <w:fldChar w:fldCharType="separate"/>
      </w:r>
      <w:r w:rsidRPr="00C0054A">
        <w:rPr>
          <w:noProof/>
          <w:szCs w:val="22"/>
          <w:lang w:val="en-GB"/>
        </w:rPr>
        <w:t>(Marmot et al., 2020)</w:t>
      </w:r>
      <w:r w:rsidRPr="00C0054A">
        <w:rPr>
          <w:szCs w:val="22"/>
          <w:lang w:val="en-GB"/>
        </w:rPr>
        <w:fldChar w:fldCharType="end"/>
      </w:r>
      <w:r w:rsidRPr="00C0054A">
        <w:rPr>
          <w:szCs w:val="22"/>
          <w:lang w:val="en-GB"/>
        </w:rPr>
        <w:t xml:space="preserve">. Yet, although quantitative methods to approach intersectionality are rapidly evolving, and despite the importance of the living environment as a meso-level health determinant, </w:t>
      </w:r>
      <w:r w:rsidR="00413893" w:rsidRPr="00C0054A">
        <w:rPr>
          <w:szCs w:val="22"/>
          <w:lang w:val="en-GB"/>
        </w:rPr>
        <w:t>it is rarely invest</w:t>
      </w:r>
      <w:r w:rsidR="008440D8" w:rsidRPr="00C0054A">
        <w:rPr>
          <w:szCs w:val="22"/>
          <w:lang w:val="en-GB"/>
        </w:rPr>
        <w:t>igat</w:t>
      </w:r>
      <w:r w:rsidR="00413893" w:rsidRPr="00C0054A">
        <w:rPr>
          <w:szCs w:val="22"/>
          <w:lang w:val="en-GB"/>
        </w:rPr>
        <w:t xml:space="preserve">ed how </w:t>
      </w:r>
      <w:r w:rsidRPr="00C0054A">
        <w:rPr>
          <w:szCs w:val="22"/>
          <w:lang w:val="en-GB"/>
        </w:rPr>
        <w:t xml:space="preserve">intersectionality </w:t>
      </w:r>
      <w:r w:rsidR="00413893" w:rsidRPr="00C0054A">
        <w:rPr>
          <w:szCs w:val="22"/>
          <w:lang w:val="en-GB"/>
        </w:rPr>
        <w:t>varies</w:t>
      </w:r>
      <w:r w:rsidRPr="00C0054A">
        <w:rPr>
          <w:szCs w:val="22"/>
          <w:lang w:val="en-GB"/>
        </w:rPr>
        <w:t xml:space="preserve"> depending on the living environment </w:t>
      </w:r>
      <w:r w:rsidRPr="00C0054A">
        <w:rPr>
          <w:szCs w:val="22"/>
          <w:lang w:val="en-GB"/>
        </w:rPr>
        <w:fldChar w:fldCharType="begin" w:fldLock="1"/>
      </w:r>
      <w:r w:rsidRPr="00C0054A">
        <w:rPr>
          <w:szCs w:val="22"/>
          <w:lang w:val="en-GB"/>
        </w:rPr>
        <w:instrText>ADDIN CSL_CITATION {"citationItems":[{"id":"ITEM-1","itemData":{"DOI":"https://doi.org/10.1016/j.healthplace.2019.102214","ISSN":"1353-8292","abstract":"Quantitative intersectional analyses often overlook the roles of contexts in shaping intersectional experiences and outcomes. This study advances a novel approach for integrating quantitative intersectional methods with models of contextual-level determinants of health inequalities. Building on recent methodological advancements, I propose an adaptation of intersectional MAIHDA (multilevel analysis of individual heterogeneity and discriminatory accuracy) where respondents are nested hierarchically in social strata defined by gender, race/ethnicity and socioeconomic classifications interacted with contextual classifications. To demonstrate this approach I examine past-month adolescent cigarette use intersectionally by school- and neighborhood-poverty status in Wave 1 of the National Longitudinal Study of Adolescent to Adult Health (N = 17,234). I conclude by discussing the adaptability of this approach to a variety of research questions, including intersectional effects that vary by contextual exposures over time, positions in social networks, and exposures to social policies.","author":[{"dropping-particle":"","family":"Evans","given":"Clare R","non-dropping-particle":"","parse-names":false,"suffix":""}],"container-title":"Health &amp; Place","id":"ITEM-1","issued":{"date-parts":[["2019"]]},"page":"102214","title":"Reintegrating contexts into quantitative intersectional analyses of health inequalities","type":"article-journal","volume":"60"},"uris":["http://www.mendeley.com/documents/?uuid=894183cd-4607-4688-8165-434849f0f095"]}],"mendeley":{"formattedCitation":"(Evans, 2019b)","plainTextFormattedCitation":"(Evans, 2019b)","previouslyFormattedCitation":"(Evans, 2019b)"},"properties":{"noteIndex":0},"schema":"https://github.com/citation-style-language/schema/raw/master/csl-citation.json"}</w:instrText>
      </w:r>
      <w:r w:rsidRPr="00C0054A">
        <w:rPr>
          <w:szCs w:val="22"/>
          <w:lang w:val="en-GB"/>
        </w:rPr>
        <w:fldChar w:fldCharType="separate"/>
      </w:r>
      <w:r w:rsidRPr="00C0054A">
        <w:rPr>
          <w:noProof/>
          <w:szCs w:val="22"/>
          <w:lang w:val="en-GB"/>
        </w:rPr>
        <w:t>(Evans, 2019b)</w:t>
      </w:r>
      <w:r w:rsidRPr="00C0054A">
        <w:rPr>
          <w:szCs w:val="22"/>
          <w:lang w:val="en-GB"/>
        </w:rPr>
        <w:fldChar w:fldCharType="end"/>
      </w:r>
      <w:r w:rsidRPr="00C0054A">
        <w:rPr>
          <w:szCs w:val="22"/>
          <w:lang w:val="en-GB"/>
        </w:rPr>
        <w:t xml:space="preserve">, let alone </w:t>
      </w:r>
      <w:r w:rsidR="0018574C" w:rsidRPr="00C0054A">
        <w:rPr>
          <w:szCs w:val="22"/>
          <w:lang w:val="en-GB"/>
        </w:rPr>
        <w:t xml:space="preserve">accounting for </w:t>
      </w:r>
      <w:r w:rsidRPr="00C0054A">
        <w:rPr>
          <w:szCs w:val="22"/>
          <w:lang w:val="en-GB"/>
        </w:rPr>
        <w:t>environmental characteristics.</w:t>
      </w:r>
      <w:r w:rsidRPr="00C0054A">
        <w:rPr>
          <w:i/>
          <w:iCs/>
          <w:szCs w:val="22"/>
          <w:lang w:val="en-GB"/>
        </w:rPr>
        <w:t xml:space="preserve"> </w:t>
      </w:r>
      <w:r w:rsidR="00B80308" w:rsidRPr="00C0054A">
        <w:rPr>
          <w:szCs w:val="22"/>
          <w:lang w:val="en-GB"/>
        </w:rPr>
        <w:t>To our knowledge, only one study</w:t>
      </w:r>
      <w:r w:rsidR="00AD2DAD" w:rsidRPr="00C0054A">
        <w:rPr>
          <w:szCs w:val="22"/>
          <w:lang w:val="en-GB"/>
        </w:rPr>
        <w:t xml:space="preserve"> on </w:t>
      </w:r>
      <w:r w:rsidR="00B55F8F" w:rsidRPr="00C0054A">
        <w:rPr>
          <w:szCs w:val="22"/>
          <w:lang w:val="en-GB"/>
        </w:rPr>
        <w:t>UGS and health</w:t>
      </w:r>
      <w:r w:rsidR="00B80308" w:rsidRPr="00C0054A">
        <w:rPr>
          <w:szCs w:val="22"/>
          <w:lang w:val="en-GB"/>
        </w:rPr>
        <w:t xml:space="preserve"> </w:t>
      </w:r>
      <w:r w:rsidR="00222810" w:rsidRPr="00C0054A">
        <w:rPr>
          <w:szCs w:val="22"/>
          <w:lang w:val="en-GB"/>
        </w:rPr>
        <w:t xml:space="preserve">– </w:t>
      </w:r>
      <w:r w:rsidR="00B80308" w:rsidRPr="00C0054A">
        <w:rPr>
          <w:szCs w:val="22"/>
          <w:lang w:val="en-GB"/>
        </w:rPr>
        <w:t xml:space="preserve">focusing on youth obesity </w:t>
      </w:r>
      <w:r w:rsidR="00222810" w:rsidRPr="00C0054A">
        <w:rPr>
          <w:szCs w:val="22"/>
          <w:lang w:val="en-GB"/>
        </w:rPr>
        <w:t xml:space="preserve">– </w:t>
      </w:r>
      <w:r w:rsidR="00B80308" w:rsidRPr="00C0054A">
        <w:rPr>
          <w:szCs w:val="22"/>
          <w:lang w:val="en-GB"/>
        </w:rPr>
        <w:t xml:space="preserve">has </w:t>
      </w:r>
      <w:r w:rsidR="003C7CAE" w:rsidRPr="00C0054A">
        <w:rPr>
          <w:szCs w:val="22"/>
          <w:lang w:val="en-GB"/>
        </w:rPr>
        <w:t>assess</w:t>
      </w:r>
      <w:r w:rsidR="00CC632A" w:rsidRPr="00C0054A">
        <w:rPr>
          <w:szCs w:val="22"/>
          <w:lang w:val="en-GB"/>
        </w:rPr>
        <w:t>ed</w:t>
      </w:r>
      <w:r w:rsidR="003C7CAE" w:rsidRPr="00C0054A">
        <w:rPr>
          <w:szCs w:val="22"/>
          <w:lang w:val="en-GB"/>
        </w:rPr>
        <w:t xml:space="preserve"> effect </w:t>
      </w:r>
      <w:r w:rsidR="003C7CAE" w:rsidRPr="00C0054A">
        <w:rPr>
          <w:szCs w:val="22"/>
          <w:lang w:val="en-GB"/>
        </w:rPr>
        <w:lastRenderedPageBreak/>
        <w:t>modification</w:t>
      </w:r>
      <w:r w:rsidR="00A52562" w:rsidRPr="00C0054A">
        <w:rPr>
          <w:szCs w:val="22"/>
          <w:lang w:val="en-GB"/>
        </w:rPr>
        <w:t xml:space="preserve"> of this association</w:t>
      </w:r>
      <w:r w:rsidR="00E5125B" w:rsidRPr="00C0054A">
        <w:rPr>
          <w:szCs w:val="22"/>
          <w:lang w:val="en-GB"/>
        </w:rPr>
        <w:t xml:space="preserve"> through the intersection</w:t>
      </w:r>
      <w:r w:rsidR="003C7CAE" w:rsidRPr="00C0054A">
        <w:rPr>
          <w:szCs w:val="22"/>
          <w:lang w:val="en-GB"/>
        </w:rPr>
        <w:t xml:space="preserve"> of</w:t>
      </w:r>
      <w:r w:rsidR="00E93090" w:rsidRPr="00C0054A">
        <w:rPr>
          <w:szCs w:val="22"/>
          <w:lang w:val="en-GB"/>
        </w:rPr>
        <w:t xml:space="preserve"> social</w:t>
      </w:r>
      <w:r w:rsidR="003C7CAE" w:rsidRPr="00C0054A">
        <w:rPr>
          <w:szCs w:val="22"/>
          <w:lang w:val="en-GB"/>
        </w:rPr>
        <w:t xml:space="preserve"> </w:t>
      </w:r>
      <w:r w:rsidR="003C7CAE" w:rsidRPr="00C0054A">
        <w:rPr>
          <w:lang w:val="en-GB"/>
        </w:rPr>
        <w:t>characteristics</w:t>
      </w:r>
      <w:r w:rsidR="00DB1546" w:rsidRPr="00C0054A">
        <w:rPr>
          <w:lang w:val="en-GB"/>
        </w:rPr>
        <w:t xml:space="preserve"> </w:t>
      </w:r>
      <w:r w:rsidR="00E63B6E" w:rsidRPr="00C0054A">
        <w:rPr>
          <w:szCs w:val="22"/>
          <w:lang w:val="en-GB"/>
        </w:rPr>
        <w:fldChar w:fldCharType="begin" w:fldLock="1"/>
      </w:r>
      <w:r w:rsidR="00452D47" w:rsidRPr="00C0054A">
        <w:rPr>
          <w:szCs w:val="22"/>
          <w:lang w:val="en-GB"/>
        </w:rPr>
        <w:instrText>ADDIN CSL_CITATION {"citationItems":[{"id":"ITEM-1","itemData":{"DOI":"10.1016/j.ypmed.2016.11.024","ISSN":"0091-7435","author":[{"dropping-particle":"","family":"Hughey","given":"S Morgan","non-dropping-particle":"","parse-names":false,"suffix":""},{"dropping-particle":"","family":"Kaczynski","given":"Andrew T","non-dropping-particle":"","parse-names":false,"suffix":""},{"dropping-particle":"","family":"Child","given":"Stephanie","non-dropping-particle":"","parse-names":false,"suffix":""},{"dropping-particle":"","family":"Moore","given":"Justin B","non-dropping-particle":"","parse-names":false,"suffix":""},{"dropping-particle":"","family":"Porter","given":"Dwayne","non-dropping-particle":"","parse-names":false,"suffix":""},{"dropping-particle":"","family":"Hibbert","given":"James","non-dropping-particle":"","parse-names":false,"suffix":""}],"container-title":"Preventive Medicine","id":"ITEM-1","issued":{"date-parts":[["2017"]]},"page":"S101-S108","publisher":"Elsevier Inc.","title":"Green and lean: Is neighborhood park and playground availability associated with youth obesity? Variations by gender, socioeconomic status, and race/ethnicity","type":"article-journal","volume":"95"},"uris":["http://www.mendeley.com/documents/?uuid=21bf4c29-ab7c-49f8-a703-7845f4293fcc"]}],"mendeley":{"formattedCitation":"(Hughey et al., 2017)","plainTextFormattedCitation":"(Hughey et al., 2017)","previouslyFormattedCitation":"(Hughey et al., 2017)"},"properties":{"noteIndex":0},"schema":"https://github.com/citation-style-language/schema/raw/master/csl-citation.json"}</w:instrText>
      </w:r>
      <w:r w:rsidR="00E63B6E" w:rsidRPr="00C0054A">
        <w:rPr>
          <w:szCs w:val="22"/>
          <w:lang w:val="en-GB"/>
        </w:rPr>
        <w:fldChar w:fldCharType="separate"/>
      </w:r>
      <w:r w:rsidR="009F0D48" w:rsidRPr="00C0054A">
        <w:rPr>
          <w:noProof/>
          <w:szCs w:val="22"/>
          <w:lang w:val="en-GB"/>
        </w:rPr>
        <w:t>(Hughey et al., 2017)</w:t>
      </w:r>
      <w:r w:rsidR="00E63B6E" w:rsidRPr="00C0054A">
        <w:rPr>
          <w:szCs w:val="22"/>
          <w:lang w:val="en-GB"/>
        </w:rPr>
        <w:fldChar w:fldCharType="end"/>
      </w:r>
      <w:r w:rsidR="00E63B6E" w:rsidRPr="00C0054A">
        <w:rPr>
          <w:szCs w:val="22"/>
          <w:lang w:val="en-GB"/>
        </w:rPr>
        <w:t>.</w:t>
      </w:r>
      <w:r w:rsidR="00597255" w:rsidRPr="00C0054A">
        <w:rPr>
          <w:szCs w:val="22"/>
          <w:lang w:val="en-GB"/>
        </w:rPr>
        <w:t xml:space="preserve"> </w:t>
      </w:r>
      <w:r w:rsidR="003C7CAE" w:rsidRPr="00C0054A">
        <w:rPr>
          <w:rFonts w:ascii="Calibri" w:hAnsi="Calibri" w:cs="Times New Roman"/>
          <w:noProof/>
          <w:lang w:val="en-GB"/>
        </w:rPr>
        <w:t>Hughey</w:t>
      </w:r>
      <w:r w:rsidR="003C7CAE" w:rsidRPr="00C0054A" w:rsidDel="003C7CAE">
        <w:rPr>
          <w:szCs w:val="22"/>
          <w:lang w:val="en-GB"/>
        </w:rPr>
        <w:t xml:space="preserve"> </w:t>
      </w:r>
      <w:r w:rsidR="003C7CAE" w:rsidRPr="00C0054A">
        <w:rPr>
          <w:szCs w:val="22"/>
          <w:lang w:val="en-GB"/>
        </w:rPr>
        <w:t xml:space="preserve">et al. </w:t>
      </w:r>
      <w:r w:rsidR="003C7CAE" w:rsidRPr="00C0054A">
        <w:rPr>
          <w:szCs w:val="22"/>
          <w:lang w:val="en-GB"/>
        </w:rPr>
        <w:fldChar w:fldCharType="begin" w:fldLock="1"/>
      </w:r>
      <w:r w:rsidR="00452D47" w:rsidRPr="00C0054A">
        <w:rPr>
          <w:szCs w:val="22"/>
          <w:lang w:val="en-GB"/>
        </w:rPr>
        <w:instrText>ADDIN CSL_CITATION {"citationItems":[{"id":"ITEM-1","itemData":{"DOI":"10.1016/j.ypmed.2016.11.024","ISSN":"0091-7435","author":[{"dropping-particle":"","family":"Hughey","given":"S Morgan","non-dropping-particle":"","parse-names":false,"suffix":""},{"dropping-particle":"","family":"Kaczynski","given":"Andrew T","non-dropping-particle":"","parse-names":false,"suffix":""},{"dropping-particle":"","family":"Child","given":"Stephanie","non-dropping-particle":"","parse-names":false,"suffix":""},{"dropping-particle":"","family":"Moore","given":"Justin B","non-dropping-particle":"","parse-names":false,"suffix":""},{"dropping-particle":"","family":"Porter","given":"Dwayne","non-dropping-particle":"","parse-names":false,"suffix":""},{"dropping-particle":"","family":"Hibbert","given":"James","non-dropping-particle":"","parse-names":false,"suffix":""}],"container-title":"Preventive Medicine","id":"ITEM-1","issued":{"date-parts":[["2017"]]},"page":"S101-S108","publisher":"Elsevier Inc.","title":"Green and lean: Is neighborhood park and playground availability associated with youth obesity? Variations by gender, socioeconomic status, and race/ethnicity","type":"article-journal","volume":"95"},"uris":["http://www.mendeley.com/documents/?uuid=21bf4c29-ab7c-49f8-a703-7845f4293fcc"]}],"mendeley":{"formattedCitation":"(Hughey et al., 2017)","plainTextFormattedCitation":"(Hughey et al., 2017)","previouslyFormattedCitation":"(Hughey et al., 2017)"},"properties":{"noteIndex":0},"schema":"https://github.com/citation-style-language/schema/raw/master/csl-citation.json"}</w:instrText>
      </w:r>
      <w:r w:rsidR="003C7CAE" w:rsidRPr="00C0054A">
        <w:rPr>
          <w:szCs w:val="22"/>
          <w:lang w:val="en-GB"/>
        </w:rPr>
        <w:fldChar w:fldCharType="separate"/>
      </w:r>
      <w:r w:rsidR="009F0D48" w:rsidRPr="00C0054A">
        <w:rPr>
          <w:noProof/>
          <w:szCs w:val="22"/>
          <w:lang w:val="en-GB"/>
        </w:rPr>
        <w:t>(Hughey et al., 2017)</w:t>
      </w:r>
      <w:r w:rsidR="003C7CAE" w:rsidRPr="00C0054A">
        <w:rPr>
          <w:szCs w:val="22"/>
          <w:lang w:val="en-GB"/>
        </w:rPr>
        <w:fldChar w:fldCharType="end"/>
      </w:r>
      <w:r w:rsidR="00597255" w:rsidRPr="00C0054A">
        <w:rPr>
          <w:szCs w:val="22"/>
          <w:lang w:val="en-GB"/>
        </w:rPr>
        <w:t xml:space="preserve"> found that the</w:t>
      </w:r>
      <w:r w:rsidR="003C7CAE" w:rsidRPr="00C0054A">
        <w:rPr>
          <w:szCs w:val="22"/>
          <w:lang w:val="en-GB"/>
        </w:rPr>
        <w:t xml:space="preserve"> inverse</w:t>
      </w:r>
      <w:r w:rsidR="00597255" w:rsidRPr="00C0054A">
        <w:rPr>
          <w:szCs w:val="22"/>
          <w:lang w:val="en-GB"/>
        </w:rPr>
        <w:t xml:space="preserve"> association between </w:t>
      </w:r>
      <w:r w:rsidR="000F06DD" w:rsidRPr="00C0054A">
        <w:rPr>
          <w:szCs w:val="22"/>
          <w:lang w:val="en-GB"/>
        </w:rPr>
        <w:t>neighbourhood</w:t>
      </w:r>
      <w:r w:rsidR="00597255" w:rsidRPr="00C0054A">
        <w:rPr>
          <w:szCs w:val="22"/>
          <w:lang w:val="en-GB"/>
        </w:rPr>
        <w:t xml:space="preserve"> park/playground availability and body mass index (BMI)</w:t>
      </w:r>
      <w:r w:rsidR="00E710DE" w:rsidRPr="00C0054A">
        <w:rPr>
          <w:szCs w:val="22"/>
          <w:lang w:val="en-GB"/>
        </w:rPr>
        <w:t xml:space="preserve"> in </w:t>
      </w:r>
      <w:r w:rsidR="00F46567" w:rsidRPr="00C0054A">
        <w:rPr>
          <w:szCs w:val="22"/>
          <w:lang w:val="en-GB"/>
        </w:rPr>
        <w:t>children</w:t>
      </w:r>
      <w:r w:rsidR="00F939D4" w:rsidRPr="00C0054A">
        <w:rPr>
          <w:szCs w:val="22"/>
          <w:lang w:val="en-GB"/>
        </w:rPr>
        <w:t xml:space="preserve"> </w:t>
      </w:r>
      <w:r w:rsidR="00597255" w:rsidRPr="00C0054A">
        <w:rPr>
          <w:szCs w:val="22"/>
          <w:lang w:val="en-GB"/>
        </w:rPr>
        <w:t xml:space="preserve">was moderated by SEP and ethnicity in a different way for boys and girls. </w:t>
      </w:r>
      <w:r w:rsidR="00316E12" w:rsidRPr="00C0054A">
        <w:rPr>
          <w:szCs w:val="22"/>
          <w:lang w:val="en-GB"/>
        </w:rPr>
        <w:t xml:space="preserve">In boys, </w:t>
      </w:r>
      <w:r w:rsidR="003C7CAE" w:rsidRPr="00C0054A">
        <w:rPr>
          <w:szCs w:val="22"/>
          <w:lang w:val="en-GB"/>
        </w:rPr>
        <w:t>beneficial effects were observed</w:t>
      </w:r>
      <w:r w:rsidR="00316E12" w:rsidRPr="00C0054A">
        <w:rPr>
          <w:szCs w:val="22"/>
          <w:lang w:val="en-GB"/>
        </w:rPr>
        <w:t xml:space="preserve"> among the low-SEP group</w:t>
      </w:r>
      <w:r w:rsidR="003C7CAE" w:rsidRPr="00C0054A">
        <w:rPr>
          <w:szCs w:val="22"/>
          <w:lang w:val="en-GB"/>
        </w:rPr>
        <w:t>, while</w:t>
      </w:r>
      <w:r w:rsidR="00316E12" w:rsidRPr="00C0054A">
        <w:rPr>
          <w:szCs w:val="22"/>
          <w:lang w:val="en-GB"/>
        </w:rPr>
        <w:t xml:space="preserve">, in girls, </w:t>
      </w:r>
      <w:r w:rsidR="00DD0D54" w:rsidRPr="00C0054A">
        <w:rPr>
          <w:szCs w:val="22"/>
          <w:lang w:val="en-GB"/>
        </w:rPr>
        <w:t>this association</w:t>
      </w:r>
      <w:r w:rsidR="00316E12" w:rsidRPr="00C0054A">
        <w:rPr>
          <w:szCs w:val="22"/>
          <w:lang w:val="en-GB"/>
        </w:rPr>
        <w:t xml:space="preserve"> was found among the </w:t>
      </w:r>
      <w:r w:rsidR="00395244" w:rsidRPr="00C0054A">
        <w:rPr>
          <w:szCs w:val="22"/>
          <w:lang w:val="en-GB"/>
        </w:rPr>
        <w:t xml:space="preserve">white </w:t>
      </w:r>
      <w:r w:rsidR="00316E12" w:rsidRPr="00C0054A">
        <w:rPr>
          <w:szCs w:val="22"/>
          <w:lang w:val="en-GB"/>
        </w:rPr>
        <w:t xml:space="preserve">and the high-SEP group </w:t>
      </w:r>
      <w:r w:rsidR="00316E12" w:rsidRPr="00C0054A">
        <w:rPr>
          <w:szCs w:val="22"/>
          <w:lang w:val="en-GB"/>
        </w:rPr>
        <w:fldChar w:fldCharType="begin" w:fldLock="1"/>
      </w:r>
      <w:r w:rsidR="00452D47" w:rsidRPr="00C0054A">
        <w:rPr>
          <w:szCs w:val="22"/>
          <w:lang w:val="en-GB"/>
        </w:rPr>
        <w:instrText>ADDIN CSL_CITATION {"citationItems":[{"id":"ITEM-1","itemData":{"DOI":"10.1016/j.ypmed.2016.11.024","ISSN":"0091-7435","author":[{"dropping-particle":"","family":"Hughey","given":"S Morgan","non-dropping-particle":"","parse-names":false,"suffix":""},{"dropping-particle":"","family":"Kaczynski","given":"Andrew T","non-dropping-particle":"","parse-names":false,"suffix":""},{"dropping-particle":"","family":"Child","given":"Stephanie","non-dropping-particle":"","parse-names":false,"suffix":""},{"dropping-particle":"","family":"Moore","given":"Justin B","non-dropping-particle":"","parse-names":false,"suffix":""},{"dropping-particle":"","family":"Porter","given":"Dwayne","non-dropping-particle":"","parse-names":false,"suffix":""},{"dropping-particle":"","family":"Hibbert","given":"James","non-dropping-particle":"","parse-names":false,"suffix":""}],"container-title":"Preventive Medicine","id":"ITEM-1","issued":{"date-parts":[["2017"]]},"page":"S101-S108","publisher":"Elsevier Inc.","title":"Green and lean: Is neighborhood park and playground availability associated with youth obesity? Variations by gender, socioeconomic status, and race/ethnicity","type":"article-journal","volume":"95"},"uris":["http://www.mendeley.com/documents/?uuid=21bf4c29-ab7c-49f8-a703-7845f4293fcc"]}],"mendeley":{"formattedCitation":"(Hughey et al., 2017)","plainTextFormattedCitation":"(Hughey et al., 2017)","previouslyFormattedCitation":"(Hughey et al., 2017)"},"properties":{"noteIndex":0},"schema":"https://github.com/citation-style-language/schema/raw/master/csl-citation.json"}</w:instrText>
      </w:r>
      <w:r w:rsidR="00316E12" w:rsidRPr="00C0054A">
        <w:rPr>
          <w:szCs w:val="22"/>
          <w:lang w:val="en-GB"/>
        </w:rPr>
        <w:fldChar w:fldCharType="separate"/>
      </w:r>
      <w:r w:rsidR="009F0D48" w:rsidRPr="00C0054A">
        <w:rPr>
          <w:noProof/>
          <w:szCs w:val="22"/>
          <w:lang w:val="en-GB"/>
        </w:rPr>
        <w:t>(Hughey et al., 2017)</w:t>
      </w:r>
      <w:r w:rsidR="00316E12" w:rsidRPr="00C0054A">
        <w:rPr>
          <w:szCs w:val="22"/>
          <w:lang w:val="en-GB"/>
        </w:rPr>
        <w:fldChar w:fldCharType="end"/>
      </w:r>
      <w:r w:rsidR="00BD69C8" w:rsidRPr="00C0054A">
        <w:rPr>
          <w:szCs w:val="22"/>
          <w:lang w:val="en-GB"/>
        </w:rPr>
        <w:t>.</w:t>
      </w:r>
    </w:p>
    <w:p w14:paraId="0C9DE59E" w14:textId="42DEF92F" w:rsidR="00820AB8" w:rsidRPr="00C0054A" w:rsidRDefault="00101F66" w:rsidP="00A702DB">
      <w:pPr>
        <w:rPr>
          <w:lang w:val="en-GB"/>
        </w:rPr>
      </w:pPr>
      <w:r w:rsidRPr="00C0054A">
        <w:rPr>
          <w:lang w:val="en-GB"/>
        </w:rPr>
        <w:t>In Belgium</w:t>
      </w:r>
      <w:r w:rsidR="008E0103" w:rsidRPr="00C0054A">
        <w:rPr>
          <w:lang w:val="en-GB"/>
        </w:rPr>
        <w:t xml:space="preserve">, </w:t>
      </w:r>
      <w:r w:rsidR="0088685C" w:rsidRPr="00C0054A">
        <w:rPr>
          <w:lang w:val="en-GB"/>
        </w:rPr>
        <w:t xml:space="preserve">the </w:t>
      </w:r>
      <w:r w:rsidR="008E0103" w:rsidRPr="00C0054A">
        <w:rPr>
          <w:lang w:val="en-GB"/>
        </w:rPr>
        <w:t>Brussels Capital Region</w:t>
      </w:r>
      <w:r w:rsidR="00EC4783" w:rsidRPr="00C0054A">
        <w:rPr>
          <w:lang w:val="en-GB"/>
        </w:rPr>
        <w:t xml:space="preserve"> (BCR)</w:t>
      </w:r>
      <w:r w:rsidR="008E0103" w:rsidRPr="00C0054A">
        <w:rPr>
          <w:lang w:val="en-GB"/>
        </w:rPr>
        <w:t xml:space="preserve"> </w:t>
      </w:r>
      <w:r w:rsidR="00A50203" w:rsidRPr="00C0054A">
        <w:rPr>
          <w:lang w:val="en-GB"/>
        </w:rPr>
        <w:t xml:space="preserve">represents </w:t>
      </w:r>
      <w:r w:rsidR="008E0103" w:rsidRPr="00C0054A">
        <w:rPr>
          <w:lang w:val="en-GB"/>
        </w:rPr>
        <w:t>an</w:t>
      </w:r>
      <w:r w:rsidR="00D7230B" w:rsidRPr="00C0054A">
        <w:rPr>
          <w:lang w:val="en-GB"/>
        </w:rPr>
        <w:t xml:space="preserve"> interesting case</w:t>
      </w:r>
      <w:r w:rsidR="007F639D" w:rsidRPr="00C0054A">
        <w:rPr>
          <w:lang w:val="en-GB"/>
        </w:rPr>
        <w:t xml:space="preserve"> to investigate </w:t>
      </w:r>
      <w:r w:rsidR="00A8167D" w:rsidRPr="00C0054A">
        <w:rPr>
          <w:lang w:val="en-GB"/>
        </w:rPr>
        <w:t xml:space="preserve">social </w:t>
      </w:r>
      <w:r w:rsidR="007F639D" w:rsidRPr="00C0054A">
        <w:rPr>
          <w:lang w:val="en-GB"/>
        </w:rPr>
        <w:t>inequalities in the associations between UGS and health</w:t>
      </w:r>
      <w:r w:rsidR="00D7230B" w:rsidRPr="00C0054A">
        <w:rPr>
          <w:lang w:val="en-GB"/>
        </w:rPr>
        <w:t>.</w:t>
      </w:r>
      <w:r w:rsidR="00685EC2" w:rsidRPr="00C0054A">
        <w:rPr>
          <w:lang w:val="en-GB"/>
        </w:rPr>
        <w:t xml:space="preserve"> </w:t>
      </w:r>
      <w:r w:rsidR="007E4EC1" w:rsidRPr="00C0054A">
        <w:rPr>
          <w:lang w:val="en-GB"/>
        </w:rPr>
        <w:t xml:space="preserve">The </w:t>
      </w:r>
      <w:r w:rsidR="00EC4783" w:rsidRPr="00C0054A">
        <w:rPr>
          <w:lang w:val="en-GB"/>
        </w:rPr>
        <w:t>BCR</w:t>
      </w:r>
      <w:r w:rsidR="007E4EC1" w:rsidRPr="00C0054A">
        <w:rPr>
          <w:lang w:val="en-GB"/>
        </w:rPr>
        <w:t xml:space="preserve"> is an administrative core of a broader urban agglomeration</w:t>
      </w:r>
      <w:r w:rsidR="002275B3" w:rsidRPr="00C0054A">
        <w:rPr>
          <w:lang w:val="en-GB"/>
        </w:rPr>
        <w:t xml:space="preserve"> and </w:t>
      </w:r>
      <w:r w:rsidR="007E45D2" w:rsidRPr="00C0054A">
        <w:rPr>
          <w:lang w:val="en-GB"/>
        </w:rPr>
        <w:t xml:space="preserve">one of the </w:t>
      </w:r>
      <w:r w:rsidR="00110838" w:rsidRPr="00C0054A">
        <w:rPr>
          <w:lang w:val="en-GB"/>
        </w:rPr>
        <w:t xml:space="preserve">most densely populated </w:t>
      </w:r>
      <w:r w:rsidR="007E45D2" w:rsidRPr="00C0054A">
        <w:rPr>
          <w:lang w:val="en-GB"/>
        </w:rPr>
        <w:t xml:space="preserve">European cities </w:t>
      </w:r>
      <w:r w:rsidR="00110838" w:rsidRPr="00C0054A">
        <w:rPr>
          <w:lang w:val="en-GB"/>
        </w:rPr>
        <w:t>(73.5 inhabitants/hectare in 2016)</w:t>
      </w:r>
      <w:r w:rsidR="00DF1F68" w:rsidRPr="00C0054A">
        <w:rPr>
          <w:lang w:val="en-GB"/>
        </w:rPr>
        <w:t xml:space="preserve"> </w:t>
      </w:r>
      <w:r w:rsidR="00DF1F68" w:rsidRPr="00C0054A">
        <w:rPr>
          <w:lang w:val="en-GB"/>
        </w:rPr>
        <w:fldChar w:fldCharType="begin" w:fldLock="1"/>
      </w:r>
      <w:r w:rsidR="009F0D48" w:rsidRPr="00C0054A">
        <w:rPr>
          <w:lang w:val="en-GB"/>
        </w:rPr>
        <w:instrText>ADDIN CSL_CITATION {"citationItems":[{"id":"ITEM-1","itemData":{"author":[{"dropping-particle":"","family":"BISA (Brussels Institute of Statistics and Analysis)","given":"","non-dropping-particle":"","parse-names":false,"suffix":""}],"id":"ITEM-1","issued":{"date-parts":[["2017"]]},"publisher-place":"Brussels, Belgium","title":"Mini-Bru 2017: The Brussels Capital Region in figures","type":"report"},"uris":["http://www.mendeley.com/documents/?uuid=c5619165-c02e-4ddf-b3b9-d34fad6b1ae9"]}],"mendeley":{"formattedCitation":"(BISA (Brussels Institute of Statistics and Analysis), 2017)","plainTextFormattedCitation":"(BISA (Brussels Institute of Statistics and Analysis), 2017)","previouslyFormattedCitation":"(BISA (Brussels Institute of Statistics and Analysis), 2017)"},"properties":{"noteIndex":0},"schema":"https://github.com/citation-style-language/schema/raw/master/csl-citation.json"}</w:instrText>
      </w:r>
      <w:r w:rsidR="00DF1F68" w:rsidRPr="00C0054A">
        <w:rPr>
          <w:lang w:val="en-GB"/>
        </w:rPr>
        <w:fldChar w:fldCharType="separate"/>
      </w:r>
      <w:r w:rsidR="00812F7E" w:rsidRPr="00C0054A">
        <w:rPr>
          <w:noProof/>
          <w:lang w:val="en-GB"/>
        </w:rPr>
        <w:t>(BISA (Brussels Institute of Statistics and Analysis), 2017)</w:t>
      </w:r>
      <w:r w:rsidR="00DF1F68" w:rsidRPr="00C0054A">
        <w:rPr>
          <w:lang w:val="en-GB"/>
        </w:rPr>
        <w:fldChar w:fldCharType="end"/>
      </w:r>
      <w:r w:rsidR="00110838" w:rsidRPr="00C0054A">
        <w:rPr>
          <w:lang w:val="en-GB"/>
        </w:rPr>
        <w:t xml:space="preserve">. </w:t>
      </w:r>
      <w:r w:rsidR="00D76D70" w:rsidRPr="00C0054A">
        <w:rPr>
          <w:lang w:val="en-GB"/>
        </w:rPr>
        <w:t>According to the 2015 World Migration Report</w:t>
      </w:r>
      <w:r w:rsidR="0012728D" w:rsidRPr="00C0054A">
        <w:rPr>
          <w:lang w:val="en-GB"/>
        </w:rPr>
        <w:t>, it</w:t>
      </w:r>
      <w:r w:rsidR="00FD21F1" w:rsidRPr="00C0054A">
        <w:rPr>
          <w:lang w:val="en-GB"/>
        </w:rPr>
        <w:t xml:space="preserve"> is</w:t>
      </w:r>
      <w:r w:rsidR="00CB5C9C" w:rsidRPr="00C0054A">
        <w:rPr>
          <w:lang w:val="en-GB"/>
        </w:rPr>
        <w:t xml:space="preserve"> the second city </w:t>
      </w:r>
      <w:r w:rsidR="00EE0A05" w:rsidRPr="00C0054A">
        <w:rPr>
          <w:lang w:val="en-GB"/>
        </w:rPr>
        <w:t xml:space="preserve">worldwide </w:t>
      </w:r>
      <w:r w:rsidR="00DB1D7C" w:rsidRPr="00C0054A">
        <w:rPr>
          <w:lang w:val="en-GB"/>
        </w:rPr>
        <w:t xml:space="preserve">with the highest percentage of </w:t>
      </w:r>
      <w:r w:rsidR="00AA73B6" w:rsidRPr="00C0054A">
        <w:rPr>
          <w:lang w:val="en-GB"/>
        </w:rPr>
        <w:t>residents</w:t>
      </w:r>
      <w:r w:rsidR="00DB1D7C" w:rsidRPr="00C0054A">
        <w:rPr>
          <w:lang w:val="en-GB"/>
        </w:rPr>
        <w:t xml:space="preserve"> of foreign origin</w:t>
      </w:r>
      <w:r w:rsidR="00CB5C9C" w:rsidRPr="00C0054A">
        <w:rPr>
          <w:lang w:val="en-GB"/>
        </w:rPr>
        <w:t xml:space="preserve"> </w:t>
      </w:r>
      <w:r w:rsidR="00DB1D7C" w:rsidRPr="00C0054A">
        <w:rPr>
          <w:lang w:val="en-GB"/>
        </w:rPr>
        <w:t>(</w:t>
      </w:r>
      <w:r w:rsidR="001810C1" w:rsidRPr="00C0054A">
        <w:rPr>
          <w:lang w:val="en-GB"/>
        </w:rPr>
        <w:t>62%</w:t>
      </w:r>
      <w:r w:rsidR="00DB1D7C" w:rsidRPr="00C0054A">
        <w:rPr>
          <w:lang w:val="en-GB"/>
        </w:rPr>
        <w:t>)</w:t>
      </w:r>
      <w:r w:rsidR="003A22C2" w:rsidRPr="00C0054A">
        <w:rPr>
          <w:lang w:val="en-GB"/>
        </w:rPr>
        <w:t xml:space="preserve"> </w:t>
      </w:r>
      <w:r w:rsidR="003A22C2" w:rsidRPr="00C0054A">
        <w:rPr>
          <w:lang w:val="en-GB"/>
        </w:rPr>
        <w:fldChar w:fldCharType="begin" w:fldLock="1"/>
      </w:r>
      <w:r w:rsidR="009B18C8" w:rsidRPr="00C0054A">
        <w:rPr>
          <w:lang w:val="en-GB"/>
        </w:rPr>
        <w:instrText>ADDIN CSL_CITATION {"citationItems":[{"id":"ITEM-1","itemData":{"ISBN":"9789290687092","author":[{"dropping-particle":"","family":"IOM (International Organization for Migration)","given":"","non-dropping-particle":"","parse-names":false,"suffix":""}],"id":"ITEM-1","issued":{"date-parts":[["2015"]]},"publisher-place":"Geneva","title":"World Migration Report 2015","type":"report"},"uris":["http://www.mendeley.com/documents/?uuid=7fd3ff8a-cd41-4090-9e20-4e7a491005f9"]}],"mendeley":{"formattedCitation":"(IOM (International Organization for Migration), 2015)","plainTextFormattedCitation":"(IOM (International Organization for Migration), 2015)","previouslyFormattedCitation":"(IOM (International Organization for Migration), 2015)"},"properties":{"noteIndex":0},"schema":"https://github.com/citation-style-language/schema/raw/master/csl-citation.json"}</w:instrText>
      </w:r>
      <w:r w:rsidR="003A22C2" w:rsidRPr="00C0054A">
        <w:rPr>
          <w:lang w:val="en-GB"/>
        </w:rPr>
        <w:fldChar w:fldCharType="separate"/>
      </w:r>
      <w:r w:rsidR="005E0B78" w:rsidRPr="00C0054A">
        <w:rPr>
          <w:noProof/>
          <w:lang w:val="en-GB"/>
        </w:rPr>
        <w:t>(IOM (International Organization for Migration), 2015)</w:t>
      </w:r>
      <w:r w:rsidR="003A22C2" w:rsidRPr="00C0054A">
        <w:rPr>
          <w:lang w:val="en-GB"/>
        </w:rPr>
        <w:fldChar w:fldCharType="end"/>
      </w:r>
      <w:r w:rsidR="00FD21F1" w:rsidRPr="00C0054A">
        <w:rPr>
          <w:lang w:val="en-GB"/>
        </w:rPr>
        <w:t>.</w:t>
      </w:r>
      <w:r w:rsidR="007809F6" w:rsidRPr="00C0054A">
        <w:rPr>
          <w:lang w:val="en-GB"/>
        </w:rPr>
        <w:t xml:space="preserve"> </w:t>
      </w:r>
      <w:r w:rsidR="006C28B6" w:rsidRPr="00C0054A">
        <w:rPr>
          <w:lang w:val="en-GB"/>
        </w:rPr>
        <w:t>Partly due to m</w:t>
      </w:r>
      <w:r w:rsidR="00B90069" w:rsidRPr="00C0054A">
        <w:rPr>
          <w:lang w:val="en-GB"/>
        </w:rPr>
        <w:t>igrat</w:t>
      </w:r>
      <w:r w:rsidR="004838F4" w:rsidRPr="00C0054A">
        <w:rPr>
          <w:lang w:val="en-GB"/>
        </w:rPr>
        <w:t>ory</w:t>
      </w:r>
      <w:r w:rsidR="00B90069" w:rsidRPr="00C0054A">
        <w:rPr>
          <w:lang w:val="en-GB"/>
        </w:rPr>
        <w:t xml:space="preserve"> dynamics</w:t>
      </w:r>
      <w:r w:rsidR="00501791" w:rsidRPr="00C0054A">
        <w:rPr>
          <w:lang w:val="en-GB"/>
        </w:rPr>
        <w:t xml:space="preserve"> within the city</w:t>
      </w:r>
      <w:r w:rsidR="006C28B6" w:rsidRPr="00C0054A">
        <w:rPr>
          <w:lang w:val="en-GB"/>
        </w:rPr>
        <w:t>,</w:t>
      </w:r>
      <w:r w:rsidR="00701F61" w:rsidRPr="00C0054A">
        <w:rPr>
          <w:lang w:val="en-GB"/>
        </w:rPr>
        <w:t xml:space="preserve"> </w:t>
      </w:r>
      <w:r w:rsidR="00CF31FE" w:rsidRPr="00C0054A">
        <w:rPr>
          <w:lang w:val="en-GB"/>
        </w:rPr>
        <w:t>there is</w:t>
      </w:r>
      <w:r w:rsidR="00501791" w:rsidRPr="00C0054A">
        <w:rPr>
          <w:lang w:val="en-GB"/>
        </w:rPr>
        <w:t xml:space="preserve"> </w:t>
      </w:r>
      <w:r w:rsidR="006846E0" w:rsidRPr="00C0054A">
        <w:rPr>
          <w:lang w:val="en-GB"/>
        </w:rPr>
        <w:t>a</w:t>
      </w:r>
      <w:r w:rsidR="00FD21F1" w:rsidRPr="00C0054A">
        <w:rPr>
          <w:lang w:val="en-GB"/>
        </w:rPr>
        <w:t xml:space="preserve"> </w:t>
      </w:r>
      <w:r w:rsidR="003B020B" w:rsidRPr="00C0054A">
        <w:rPr>
          <w:lang w:val="en-GB"/>
        </w:rPr>
        <w:t xml:space="preserve">clear spatial </w:t>
      </w:r>
      <w:r w:rsidR="008D0C86" w:rsidRPr="00C0054A">
        <w:rPr>
          <w:lang w:val="en-GB"/>
        </w:rPr>
        <w:t xml:space="preserve">differentiation </w:t>
      </w:r>
      <w:r w:rsidR="003B020B" w:rsidRPr="00C0054A">
        <w:rPr>
          <w:lang w:val="en-GB"/>
        </w:rPr>
        <w:t>between</w:t>
      </w:r>
      <w:r w:rsidR="008D0C86" w:rsidRPr="00C0054A">
        <w:rPr>
          <w:lang w:val="en-GB"/>
        </w:rPr>
        <w:t xml:space="preserve"> the</w:t>
      </w:r>
      <w:r w:rsidR="003B020B" w:rsidRPr="00C0054A">
        <w:rPr>
          <w:lang w:val="en-GB"/>
        </w:rPr>
        <w:t xml:space="preserve"> </w:t>
      </w:r>
      <w:r w:rsidR="004B29B5" w:rsidRPr="00C0054A">
        <w:rPr>
          <w:lang w:val="en-GB"/>
        </w:rPr>
        <w:t>le</w:t>
      </w:r>
      <w:r w:rsidR="009A3982" w:rsidRPr="00C0054A">
        <w:rPr>
          <w:lang w:val="en-GB"/>
        </w:rPr>
        <w:t>ast</w:t>
      </w:r>
      <w:r w:rsidR="004B29B5" w:rsidRPr="00C0054A">
        <w:rPr>
          <w:lang w:val="en-GB"/>
        </w:rPr>
        <w:t xml:space="preserve"> </w:t>
      </w:r>
      <w:r w:rsidR="00EE0A05" w:rsidRPr="00C0054A">
        <w:rPr>
          <w:lang w:val="en-GB"/>
        </w:rPr>
        <w:t xml:space="preserve">and </w:t>
      </w:r>
      <w:r w:rsidR="009A3982" w:rsidRPr="00C0054A">
        <w:rPr>
          <w:lang w:val="en-GB"/>
        </w:rPr>
        <w:t xml:space="preserve">the most </w:t>
      </w:r>
      <w:r w:rsidR="00395244" w:rsidRPr="00C0054A">
        <w:rPr>
          <w:lang w:val="en-GB"/>
        </w:rPr>
        <w:t xml:space="preserve">deprived </w:t>
      </w:r>
      <w:r w:rsidR="004B29B5" w:rsidRPr="00C0054A">
        <w:rPr>
          <w:lang w:val="en-GB"/>
        </w:rPr>
        <w:t xml:space="preserve">areas </w:t>
      </w:r>
      <w:r w:rsidR="008C7BA3" w:rsidRPr="00C0054A">
        <w:rPr>
          <w:lang w:val="en-GB"/>
        </w:rPr>
        <w:fldChar w:fldCharType="begin" w:fldLock="1"/>
      </w:r>
      <w:r w:rsidR="00452D47" w:rsidRPr="00C0054A">
        <w:rPr>
          <w:lang w:val="en-GB"/>
        </w:rPr>
        <w:instrText>ADDIN CSL_CITATION {"citationItems":[{"id":"ITEM-1","itemData":{"author":[{"dropping-particle":"","family":"Deboosere","given":"Patrick","non-dropping-particle":"","parse-names":false,"suffix":""},{"dropping-particle":"","family":"Eggerickx","given":"Thierry","non-dropping-particle":"","parse-names":false,"suffix":""},{"dropping-particle":"","family":"Hecke","given":"Etienne","non-dropping-particle":"Van","parse-names":false,"suffix":""},{"dropping-particle":"","family":"Wayens","given":"Benjamin","non-dropping-particle":"","parse-names":false,"suffix":""}],"container-title":"Brussels Studies","id":"ITEM-1","issued":{"date-parts":[["2009"]]},"publisher-place":"Brussels, Belgium","title":"The population of Brussels: a demographic overview","type":"article-journal"},"uris":["http://www.mendeley.com/documents/?uuid=e2c4704d-80b3-4fc4-872e-e471313ad961"]}],"mendeley":{"formattedCitation":"(Deboosere et al., 2009)","plainTextFormattedCitation":"(Deboosere et al., 2009)","previouslyFormattedCitation":"(Deboosere et al., 2009)"},"properties":{"noteIndex":0},"schema":"https://github.com/citation-style-language/schema/raw/master/csl-citation.json"}</w:instrText>
      </w:r>
      <w:r w:rsidR="008C7BA3" w:rsidRPr="00C0054A">
        <w:rPr>
          <w:lang w:val="en-GB"/>
        </w:rPr>
        <w:fldChar w:fldCharType="separate"/>
      </w:r>
      <w:r w:rsidR="009F0D48" w:rsidRPr="00C0054A">
        <w:rPr>
          <w:noProof/>
          <w:lang w:val="en-GB"/>
        </w:rPr>
        <w:t>(Deboosere et al., 2009)</w:t>
      </w:r>
      <w:r w:rsidR="008C7BA3" w:rsidRPr="00C0054A">
        <w:rPr>
          <w:lang w:val="en-GB"/>
        </w:rPr>
        <w:fldChar w:fldCharType="end"/>
      </w:r>
      <w:r w:rsidR="00CD6E75" w:rsidRPr="00C0054A">
        <w:rPr>
          <w:lang w:val="en-GB"/>
        </w:rPr>
        <w:t>.</w:t>
      </w:r>
      <w:r w:rsidR="00967660" w:rsidRPr="00C0054A">
        <w:rPr>
          <w:lang w:val="en-GB"/>
        </w:rPr>
        <w:t xml:space="preserve"> </w:t>
      </w:r>
      <w:r w:rsidR="00EF4D8C" w:rsidRPr="00C0054A">
        <w:rPr>
          <w:lang w:val="en-GB"/>
        </w:rPr>
        <w:t>Furthermore</w:t>
      </w:r>
      <w:r w:rsidR="000D7BF9" w:rsidRPr="00C0054A">
        <w:rPr>
          <w:lang w:val="en-GB"/>
        </w:rPr>
        <w:t xml:space="preserve">, the </w:t>
      </w:r>
      <w:r w:rsidR="0045200E" w:rsidRPr="00C0054A">
        <w:rPr>
          <w:lang w:val="en-GB"/>
        </w:rPr>
        <w:t xml:space="preserve">BCR </w:t>
      </w:r>
      <w:proofErr w:type="gramStart"/>
      <w:r w:rsidR="0045200E" w:rsidRPr="00C0054A">
        <w:rPr>
          <w:lang w:val="en-GB"/>
        </w:rPr>
        <w:t xml:space="preserve">is considered </w:t>
      </w:r>
      <w:r w:rsidR="004B29B5" w:rsidRPr="00C0054A">
        <w:rPr>
          <w:lang w:val="en-GB"/>
        </w:rPr>
        <w:t>to be</w:t>
      </w:r>
      <w:proofErr w:type="gramEnd"/>
      <w:r w:rsidR="004B29B5" w:rsidRPr="00C0054A">
        <w:rPr>
          <w:lang w:val="en-GB"/>
        </w:rPr>
        <w:t xml:space="preserve"> </w:t>
      </w:r>
      <w:r w:rsidR="0045200E" w:rsidRPr="00C0054A">
        <w:rPr>
          <w:lang w:val="en-GB"/>
        </w:rPr>
        <w:t xml:space="preserve">a </w:t>
      </w:r>
      <w:r w:rsidR="00996DFD" w:rsidRPr="00C0054A">
        <w:rPr>
          <w:lang w:val="en-GB"/>
        </w:rPr>
        <w:t>green city</w:t>
      </w:r>
      <w:r w:rsidR="00722BB3" w:rsidRPr="00C0054A">
        <w:rPr>
          <w:lang w:val="en-GB"/>
        </w:rPr>
        <w:t xml:space="preserve">: </w:t>
      </w:r>
      <w:r w:rsidR="00E37DE3" w:rsidRPr="00C0054A">
        <w:rPr>
          <w:lang w:val="en-GB"/>
        </w:rPr>
        <w:t xml:space="preserve">its </w:t>
      </w:r>
      <w:r w:rsidR="00634FB8" w:rsidRPr="00C0054A">
        <w:rPr>
          <w:lang w:val="en-GB"/>
        </w:rPr>
        <w:t>8</w:t>
      </w:r>
      <w:r w:rsidR="00956567" w:rsidRPr="00C0054A">
        <w:rPr>
          <w:lang w:val="en-GB"/>
        </w:rPr>
        <w:t>,</w:t>
      </w:r>
      <w:r w:rsidR="00634FB8" w:rsidRPr="00C0054A">
        <w:rPr>
          <w:lang w:val="en-GB"/>
        </w:rPr>
        <w:t>714</w:t>
      </w:r>
      <w:r w:rsidR="00666EA3" w:rsidRPr="00C0054A">
        <w:rPr>
          <w:lang w:val="en-GB"/>
        </w:rPr>
        <w:t xml:space="preserve"> hectares</w:t>
      </w:r>
      <w:r w:rsidR="00634FB8" w:rsidRPr="00C0054A">
        <w:rPr>
          <w:lang w:val="en-GB"/>
        </w:rPr>
        <w:t xml:space="preserve"> </w:t>
      </w:r>
      <w:r w:rsidR="00CD240D" w:rsidRPr="00C0054A">
        <w:rPr>
          <w:lang w:val="en-GB"/>
        </w:rPr>
        <w:t xml:space="preserve">of </w:t>
      </w:r>
      <w:r w:rsidR="00FE3027" w:rsidRPr="00C0054A">
        <w:rPr>
          <w:lang w:val="en-GB"/>
        </w:rPr>
        <w:t xml:space="preserve">green cover account for 54% of the </w:t>
      </w:r>
      <w:r w:rsidR="00B25E0D" w:rsidRPr="00C0054A">
        <w:rPr>
          <w:lang w:val="en-GB"/>
        </w:rPr>
        <w:t>total</w:t>
      </w:r>
      <w:r w:rsidR="00FE2935" w:rsidRPr="00C0054A">
        <w:rPr>
          <w:lang w:val="en-GB"/>
        </w:rPr>
        <w:t xml:space="preserve"> area</w:t>
      </w:r>
      <w:r w:rsidR="00F75684" w:rsidRPr="00C0054A">
        <w:rPr>
          <w:lang w:val="en-GB"/>
        </w:rPr>
        <w:t xml:space="preserve">. </w:t>
      </w:r>
      <w:r w:rsidR="002978B2" w:rsidRPr="00C0054A">
        <w:rPr>
          <w:lang w:val="en-GB"/>
        </w:rPr>
        <w:t>From these, 35%</w:t>
      </w:r>
      <w:r w:rsidR="001401F3" w:rsidRPr="00C0054A">
        <w:rPr>
          <w:lang w:val="en-GB"/>
        </w:rPr>
        <w:t xml:space="preserve"> </w:t>
      </w:r>
      <w:r w:rsidR="00A845D7" w:rsidRPr="00C0054A">
        <w:rPr>
          <w:lang w:val="en-GB"/>
        </w:rPr>
        <w:t xml:space="preserve">are </w:t>
      </w:r>
      <w:r w:rsidR="001C47B4" w:rsidRPr="00C0054A">
        <w:rPr>
          <w:lang w:val="en-GB"/>
        </w:rPr>
        <w:t>public green spaces</w:t>
      </w:r>
      <w:r w:rsidR="00654311" w:rsidRPr="00C0054A">
        <w:rPr>
          <w:lang w:val="en-GB"/>
        </w:rPr>
        <w:t xml:space="preserve">, which </w:t>
      </w:r>
      <w:r w:rsidR="004E750D" w:rsidRPr="00C0054A">
        <w:rPr>
          <w:lang w:val="en-GB"/>
        </w:rPr>
        <w:t xml:space="preserve">account </w:t>
      </w:r>
      <w:r w:rsidR="00466DF1" w:rsidRPr="00C0054A">
        <w:rPr>
          <w:lang w:val="en-GB"/>
        </w:rPr>
        <w:t xml:space="preserve">on </w:t>
      </w:r>
      <w:r w:rsidR="00654311" w:rsidRPr="00C0054A">
        <w:rPr>
          <w:lang w:val="en-GB"/>
        </w:rPr>
        <w:t xml:space="preserve">average </w:t>
      </w:r>
      <w:r w:rsidR="004E750D" w:rsidRPr="00C0054A">
        <w:rPr>
          <w:lang w:val="en-GB"/>
        </w:rPr>
        <w:t xml:space="preserve">for </w:t>
      </w:r>
      <w:r w:rsidR="004A0945" w:rsidRPr="00C0054A">
        <w:rPr>
          <w:lang w:val="en-GB"/>
        </w:rPr>
        <w:t>26m</w:t>
      </w:r>
      <w:r w:rsidR="004A0945" w:rsidRPr="00C0054A">
        <w:rPr>
          <w:vertAlign w:val="superscript"/>
          <w:lang w:val="en-GB"/>
        </w:rPr>
        <w:t>2</w:t>
      </w:r>
      <w:r w:rsidR="00654311" w:rsidRPr="00C0054A">
        <w:rPr>
          <w:lang w:val="en-GB"/>
        </w:rPr>
        <w:t xml:space="preserve"> per inhabitant</w:t>
      </w:r>
      <w:r w:rsidR="001A492A" w:rsidRPr="00C0054A">
        <w:rPr>
          <w:lang w:val="en-GB"/>
        </w:rPr>
        <w:t xml:space="preserve"> </w:t>
      </w:r>
      <w:r w:rsidR="001A492A" w:rsidRPr="00C0054A">
        <w:rPr>
          <w:lang w:val="en-GB"/>
        </w:rPr>
        <w:fldChar w:fldCharType="begin" w:fldLock="1"/>
      </w:r>
      <w:r w:rsidR="00E23660" w:rsidRPr="00C0054A">
        <w:rPr>
          <w:lang w:val="en-GB"/>
        </w:rPr>
        <w:instrText>ADDIN CSL_CITATION {"citationItems":[{"id":"ITEM-1","itemData":{"author":[{"dropping-particle":"","family":"Brussels Environment","given":"","non-dropping-particle":"","parse-names":false,"suffix":""}],"id":"ITEM-1","issued":{"date-parts":[["2012"]]},"publisher-place":"Brussels, Belgium","title":"Rapport Sur l'état de la Nature en Région de Bruxelles Capitale (In English: Report on the State of Nature in the Brussels Capital Region)","type":"report"},"uris":["http://www.mendeley.com/documents/?uuid=a50f29b8-2d83-451e-9e0c-5c8e2ae78d3a"]}],"mendeley":{"formattedCitation":"(Brussels Environment, 2012)","plainTextFormattedCitation":"(Brussels Environment, 2012)","previouslyFormattedCitation":"(Brussels Environment, 2012)"},"properties":{"noteIndex":0},"schema":"https://github.com/citation-style-language/schema/raw/master/csl-citation.json"}</w:instrText>
      </w:r>
      <w:r w:rsidR="001A492A" w:rsidRPr="00C0054A">
        <w:rPr>
          <w:lang w:val="en-GB"/>
        </w:rPr>
        <w:fldChar w:fldCharType="separate"/>
      </w:r>
      <w:r w:rsidR="00462799" w:rsidRPr="00C0054A">
        <w:rPr>
          <w:noProof/>
          <w:lang w:val="en-GB"/>
        </w:rPr>
        <w:t>(Brussels Environment, 2012)</w:t>
      </w:r>
      <w:r w:rsidR="001A492A" w:rsidRPr="00C0054A">
        <w:rPr>
          <w:lang w:val="en-GB"/>
        </w:rPr>
        <w:fldChar w:fldCharType="end"/>
      </w:r>
      <w:r w:rsidR="00EE0A05" w:rsidRPr="00C0054A">
        <w:rPr>
          <w:lang w:val="en-GB"/>
        </w:rPr>
        <w:t xml:space="preserve">. </w:t>
      </w:r>
      <w:r w:rsidR="00466DF1" w:rsidRPr="00C0054A">
        <w:rPr>
          <w:lang w:val="en-GB"/>
        </w:rPr>
        <w:t>However</w:t>
      </w:r>
      <w:r w:rsidR="00EE0A05" w:rsidRPr="00C0054A">
        <w:rPr>
          <w:lang w:val="en-GB"/>
        </w:rPr>
        <w:t xml:space="preserve">, </w:t>
      </w:r>
      <w:r w:rsidR="0021216C" w:rsidRPr="00C0054A">
        <w:rPr>
          <w:lang w:val="en-GB"/>
        </w:rPr>
        <w:t xml:space="preserve">the distribution of </w:t>
      </w:r>
      <w:r w:rsidR="00EE0A05" w:rsidRPr="00C0054A">
        <w:rPr>
          <w:lang w:val="en-GB"/>
        </w:rPr>
        <w:t xml:space="preserve">these green spaces </w:t>
      </w:r>
      <w:r w:rsidR="00627D8B" w:rsidRPr="00C0054A">
        <w:rPr>
          <w:lang w:val="en-GB"/>
        </w:rPr>
        <w:t xml:space="preserve">varies widely </w:t>
      </w:r>
      <w:r w:rsidR="00680725" w:rsidRPr="00C0054A">
        <w:rPr>
          <w:lang w:val="en-GB"/>
        </w:rPr>
        <w:t xml:space="preserve">among </w:t>
      </w:r>
      <w:r w:rsidR="00715724" w:rsidRPr="00C0054A">
        <w:rPr>
          <w:lang w:val="en-GB"/>
        </w:rPr>
        <w:t>residents</w:t>
      </w:r>
      <w:r w:rsidR="00992D14" w:rsidRPr="00C0054A">
        <w:rPr>
          <w:lang w:val="en-GB"/>
        </w:rPr>
        <w:t xml:space="preserve"> </w:t>
      </w:r>
      <w:r w:rsidR="00992D14" w:rsidRPr="00C0054A">
        <w:rPr>
          <w:lang w:val="en-GB"/>
        </w:rPr>
        <w:fldChar w:fldCharType="begin" w:fldLock="1"/>
      </w:r>
      <w:r w:rsidR="0084260D" w:rsidRPr="00C0054A">
        <w:rPr>
          <w:lang w:val="en-GB"/>
        </w:rPr>
        <w:instrText>ADDIN CSL_CITATION {"citationItems":[{"id":"ITEM-1","itemData":{"DOI":"10.1080/17538947.2016.1252434","ISSN":"1753-8947","author":[{"dropping-particle":"","family":"Voorde","given":"Tim","non-dropping-particle":"Van de","parse-names":false,"suffix":""}],"container-title":"International Journal of Digital Earth","id":"ITEM-1","issue":"0","issued":{"date-parts":[["2016"]]},"page":"1-16","publisher":"Taylor &amp; Francis","title":"Spatially explicit urban green indicators for characterizing vegetation cover and public green space proximity : a case study on Brussels , Belgium","type":"article-journal","volume":"0"},"uris":["http://www.mendeley.com/documents/?uuid=1ef4f5cb-d569-4f1e-a270-8f6d503ed6be"]}],"mendeley":{"formattedCitation":"(Van de Voorde, 2016)","plainTextFormattedCitation":"(Van de Voorde, 2016)","previouslyFormattedCitation":"(Van de Voorde, 2016)"},"properties":{"noteIndex":0},"schema":"https://github.com/citation-style-language/schema/raw/master/csl-citation.json"}</w:instrText>
      </w:r>
      <w:r w:rsidR="00992D14" w:rsidRPr="00C0054A">
        <w:rPr>
          <w:lang w:val="en-GB"/>
        </w:rPr>
        <w:fldChar w:fldCharType="separate"/>
      </w:r>
      <w:r w:rsidR="00D65768" w:rsidRPr="00C0054A">
        <w:rPr>
          <w:noProof/>
          <w:lang w:val="en-GB"/>
        </w:rPr>
        <w:t>(Van de Voorde, 2016)</w:t>
      </w:r>
      <w:r w:rsidR="00992D14" w:rsidRPr="00C0054A">
        <w:rPr>
          <w:lang w:val="en-GB"/>
        </w:rPr>
        <w:fldChar w:fldCharType="end"/>
      </w:r>
      <w:r w:rsidR="00397F18" w:rsidRPr="00C0054A">
        <w:rPr>
          <w:lang w:val="en-GB"/>
        </w:rPr>
        <w:t>.</w:t>
      </w:r>
    </w:p>
    <w:p w14:paraId="043E00A0" w14:textId="3BBA26D9" w:rsidR="002F6FC8" w:rsidRPr="00C0054A" w:rsidRDefault="00054846" w:rsidP="0025054D">
      <w:pPr>
        <w:rPr>
          <w:color w:val="000000" w:themeColor="text1"/>
          <w:szCs w:val="22"/>
          <w:lang w:val="en-GB"/>
        </w:rPr>
      </w:pPr>
      <w:r w:rsidRPr="00C0054A">
        <w:rPr>
          <w:color w:val="000000" w:themeColor="text1"/>
          <w:szCs w:val="22"/>
          <w:lang w:val="en-GB"/>
        </w:rPr>
        <w:t>In this study, we</w:t>
      </w:r>
      <w:r w:rsidR="00F60679" w:rsidRPr="00C0054A">
        <w:rPr>
          <w:color w:val="000000" w:themeColor="text1"/>
          <w:szCs w:val="22"/>
          <w:lang w:val="en-GB"/>
        </w:rPr>
        <w:t xml:space="preserve"> </w:t>
      </w:r>
      <w:r w:rsidR="00E6504F" w:rsidRPr="00C0054A">
        <w:rPr>
          <w:color w:val="000000" w:themeColor="text1"/>
          <w:szCs w:val="22"/>
          <w:lang w:val="en-GB"/>
        </w:rPr>
        <w:t>assess</w:t>
      </w:r>
      <w:r w:rsidR="00BB6236" w:rsidRPr="00C0054A">
        <w:rPr>
          <w:color w:val="000000" w:themeColor="text1"/>
          <w:szCs w:val="22"/>
          <w:lang w:val="en-GB"/>
        </w:rPr>
        <w:t xml:space="preserve"> </w:t>
      </w:r>
      <w:r w:rsidR="004A1C2A" w:rsidRPr="00C0054A">
        <w:rPr>
          <w:color w:val="000000" w:themeColor="text1"/>
          <w:szCs w:val="22"/>
          <w:lang w:val="en-GB"/>
        </w:rPr>
        <w:t>the association</w:t>
      </w:r>
      <w:r w:rsidR="00BB6236" w:rsidRPr="00C0054A">
        <w:rPr>
          <w:color w:val="000000" w:themeColor="text1"/>
          <w:szCs w:val="22"/>
          <w:lang w:val="en-GB"/>
        </w:rPr>
        <w:t>s</w:t>
      </w:r>
      <w:r w:rsidR="004A1C2A" w:rsidRPr="00C0054A">
        <w:rPr>
          <w:color w:val="000000" w:themeColor="text1"/>
          <w:szCs w:val="22"/>
          <w:lang w:val="en-GB"/>
        </w:rPr>
        <w:t xml:space="preserve"> </w:t>
      </w:r>
      <w:r w:rsidRPr="00C0054A">
        <w:rPr>
          <w:color w:val="000000" w:themeColor="text1"/>
          <w:szCs w:val="22"/>
          <w:lang w:val="en-GB"/>
        </w:rPr>
        <w:t xml:space="preserve">of </w:t>
      </w:r>
      <w:r w:rsidR="0010530E" w:rsidRPr="00C0054A">
        <w:rPr>
          <w:color w:val="000000" w:themeColor="text1"/>
          <w:szCs w:val="22"/>
          <w:lang w:val="en-GB"/>
        </w:rPr>
        <w:t>residential</w:t>
      </w:r>
      <w:r w:rsidR="002275B3" w:rsidRPr="00C0054A">
        <w:rPr>
          <w:color w:val="000000" w:themeColor="text1"/>
          <w:szCs w:val="22"/>
          <w:lang w:val="en-GB"/>
        </w:rPr>
        <w:t xml:space="preserve"> </w:t>
      </w:r>
      <w:r w:rsidR="003676F3" w:rsidRPr="00C0054A">
        <w:rPr>
          <w:color w:val="000000" w:themeColor="text1"/>
          <w:szCs w:val="22"/>
          <w:lang w:val="en-GB"/>
        </w:rPr>
        <w:t>UGS</w:t>
      </w:r>
      <w:r w:rsidR="0010530E" w:rsidRPr="00C0054A">
        <w:rPr>
          <w:color w:val="000000" w:themeColor="text1"/>
          <w:szCs w:val="22"/>
          <w:lang w:val="en-GB"/>
        </w:rPr>
        <w:t xml:space="preserve"> indicators – both objective and subjective – </w:t>
      </w:r>
      <w:r w:rsidRPr="00C0054A">
        <w:rPr>
          <w:color w:val="000000" w:themeColor="text1"/>
          <w:szCs w:val="22"/>
          <w:lang w:val="en-GB"/>
        </w:rPr>
        <w:t xml:space="preserve">with </w:t>
      </w:r>
      <w:r w:rsidR="009B7B2D" w:rsidRPr="00C0054A">
        <w:rPr>
          <w:color w:val="000000" w:themeColor="text1"/>
          <w:szCs w:val="22"/>
          <w:lang w:val="en-GB"/>
        </w:rPr>
        <w:t>self-perceived health and natural cause mortality</w:t>
      </w:r>
      <w:r w:rsidR="005C2B36" w:rsidRPr="00C0054A">
        <w:rPr>
          <w:color w:val="000000" w:themeColor="text1"/>
          <w:szCs w:val="22"/>
          <w:lang w:val="en-GB"/>
        </w:rPr>
        <w:t xml:space="preserve"> </w:t>
      </w:r>
      <w:r w:rsidR="00A33976" w:rsidRPr="00C0054A">
        <w:rPr>
          <w:color w:val="000000" w:themeColor="text1"/>
          <w:szCs w:val="22"/>
          <w:lang w:val="en-GB"/>
        </w:rPr>
        <w:t xml:space="preserve">in the </w:t>
      </w:r>
      <w:r w:rsidR="005C2B36" w:rsidRPr="00C0054A">
        <w:rPr>
          <w:color w:val="000000" w:themeColor="text1"/>
          <w:szCs w:val="22"/>
          <w:lang w:val="en-GB"/>
        </w:rPr>
        <w:t>BCR</w:t>
      </w:r>
      <w:r w:rsidRPr="00C0054A">
        <w:rPr>
          <w:color w:val="000000" w:themeColor="text1"/>
          <w:szCs w:val="22"/>
          <w:lang w:val="en-GB"/>
        </w:rPr>
        <w:t>, and the potential effect modification</w:t>
      </w:r>
      <w:r w:rsidR="001E2742" w:rsidRPr="00C0054A">
        <w:rPr>
          <w:color w:val="000000" w:themeColor="text1"/>
          <w:szCs w:val="22"/>
          <w:lang w:val="en-GB"/>
        </w:rPr>
        <w:t xml:space="preserve"> </w:t>
      </w:r>
      <w:r w:rsidRPr="00C0054A">
        <w:rPr>
          <w:color w:val="000000" w:themeColor="text1"/>
          <w:szCs w:val="22"/>
          <w:lang w:val="en-GB"/>
        </w:rPr>
        <w:t>of</w:t>
      </w:r>
      <w:r w:rsidR="00583007" w:rsidRPr="00C0054A">
        <w:rPr>
          <w:color w:val="000000" w:themeColor="text1"/>
          <w:szCs w:val="22"/>
          <w:lang w:val="en-GB"/>
        </w:rPr>
        <w:t xml:space="preserve"> </w:t>
      </w:r>
      <w:r w:rsidR="00BB6236" w:rsidRPr="00C0054A">
        <w:rPr>
          <w:color w:val="000000" w:themeColor="text1"/>
          <w:szCs w:val="22"/>
          <w:lang w:val="en-GB"/>
        </w:rPr>
        <w:t>social strata</w:t>
      </w:r>
      <w:r w:rsidR="00186445" w:rsidRPr="00C0054A">
        <w:rPr>
          <w:color w:val="000000" w:themeColor="text1"/>
          <w:szCs w:val="22"/>
          <w:lang w:val="en-GB"/>
        </w:rPr>
        <w:t xml:space="preserve"> </w:t>
      </w:r>
      <w:r w:rsidR="001D07C2" w:rsidRPr="00C0054A">
        <w:rPr>
          <w:color w:val="000000" w:themeColor="text1"/>
          <w:szCs w:val="22"/>
          <w:lang w:val="en-GB"/>
        </w:rPr>
        <w:t xml:space="preserve">applying </w:t>
      </w:r>
      <w:r w:rsidR="00186445" w:rsidRPr="00C0054A">
        <w:rPr>
          <w:color w:val="000000" w:themeColor="text1"/>
          <w:szCs w:val="22"/>
          <w:lang w:val="en-GB"/>
        </w:rPr>
        <w:t xml:space="preserve">an intersectionality </w:t>
      </w:r>
      <w:r w:rsidR="00552EDF" w:rsidRPr="00C0054A">
        <w:rPr>
          <w:color w:val="000000" w:themeColor="text1"/>
          <w:szCs w:val="22"/>
          <w:lang w:val="en-GB"/>
        </w:rPr>
        <w:t>approach,</w:t>
      </w:r>
      <w:r w:rsidR="00793653" w:rsidRPr="00C0054A">
        <w:rPr>
          <w:color w:val="000000" w:themeColor="text1"/>
          <w:szCs w:val="22"/>
          <w:lang w:val="en-GB"/>
        </w:rPr>
        <w:t xml:space="preserve"> i.e.</w:t>
      </w:r>
      <w:r w:rsidR="00720071" w:rsidRPr="00C0054A">
        <w:rPr>
          <w:color w:val="000000" w:themeColor="text1"/>
          <w:szCs w:val="22"/>
          <w:lang w:val="en-GB"/>
        </w:rPr>
        <w:t>,</w:t>
      </w:r>
      <w:r w:rsidR="00627D8B" w:rsidRPr="00C0054A">
        <w:rPr>
          <w:color w:val="000000" w:themeColor="text1"/>
          <w:szCs w:val="22"/>
          <w:lang w:val="en-GB"/>
        </w:rPr>
        <w:t xml:space="preserve"> incorporating </w:t>
      </w:r>
      <w:r w:rsidR="00C06CB1" w:rsidRPr="00C0054A">
        <w:rPr>
          <w:color w:val="000000" w:themeColor="text1"/>
          <w:szCs w:val="22"/>
          <w:lang w:val="en-GB"/>
        </w:rPr>
        <w:t>three dimensions</w:t>
      </w:r>
      <w:r w:rsidR="00793653" w:rsidRPr="00C0054A">
        <w:rPr>
          <w:color w:val="000000" w:themeColor="text1"/>
          <w:szCs w:val="22"/>
          <w:lang w:val="en-GB"/>
        </w:rPr>
        <w:t xml:space="preserve"> simultaneously</w:t>
      </w:r>
      <w:r w:rsidR="00627D8B" w:rsidRPr="00C0054A">
        <w:rPr>
          <w:color w:val="000000" w:themeColor="text1"/>
          <w:szCs w:val="22"/>
          <w:lang w:val="en-GB"/>
        </w:rPr>
        <w:t xml:space="preserve">: </w:t>
      </w:r>
      <w:r w:rsidR="00C06CB1" w:rsidRPr="00C0054A">
        <w:rPr>
          <w:lang w:val="en-GB"/>
        </w:rPr>
        <w:t>gender, SEP and migrant background</w:t>
      </w:r>
      <w:r w:rsidR="0021641F" w:rsidRPr="00C0054A">
        <w:rPr>
          <w:color w:val="000000" w:themeColor="text1"/>
          <w:szCs w:val="22"/>
          <w:lang w:val="en-GB"/>
        </w:rPr>
        <w:t>.</w:t>
      </w:r>
    </w:p>
    <w:p w14:paraId="794F455A" w14:textId="7C28CAEC" w:rsidR="003F268C" w:rsidRPr="00A858D5" w:rsidRDefault="001F70F4" w:rsidP="00A60805">
      <w:pPr>
        <w:pStyle w:val="Heading1"/>
        <w:numPr>
          <w:ilvl w:val="0"/>
          <w:numId w:val="2"/>
        </w:numPr>
        <w:rPr>
          <w:lang w:val="en-GB"/>
        </w:rPr>
      </w:pPr>
      <w:r w:rsidRPr="00A858D5">
        <w:rPr>
          <w:lang w:val="en-GB"/>
        </w:rPr>
        <w:t>Methods</w:t>
      </w:r>
    </w:p>
    <w:p w14:paraId="2A2D98A4" w14:textId="5AC17F44" w:rsidR="00B446C8" w:rsidRPr="00A858D5" w:rsidRDefault="00B446C8" w:rsidP="008B20D9">
      <w:pPr>
        <w:pStyle w:val="Heading2"/>
        <w:rPr>
          <w:lang w:val="en-GB"/>
        </w:rPr>
      </w:pPr>
      <w:r w:rsidRPr="00A858D5">
        <w:rPr>
          <w:lang w:val="en-GB"/>
        </w:rPr>
        <w:t>Data design and study population</w:t>
      </w:r>
    </w:p>
    <w:p w14:paraId="35F7858F" w14:textId="693B4873" w:rsidR="00BA0551" w:rsidRPr="00A858D5" w:rsidRDefault="00C14040" w:rsidP="009D5988">
      <w:pPr>
        <w:rPr>
          <w:lang w:val="en-GB"/>
        </w:rPr>
      </w:pPr>
      <w:r w:rsidRPr="00A858D5">
        <w:rPr>
          <w:lang w:val="en-GB"/>
        </w:rPr>
        <w:t>Analyses were</w:t>
      </w:r>
      <w:r w:rsidR="003F268C" w:rsidRPr="00A858D5">
        <w:rPr>
          <w:lang w:val="en-GB"/>
        </w:rPr>
        <w:t xml:space="preserve"> </w:t>
      </w:r>
      <w:r w:rsidR="00296059" w:rsidRPr="00A858D5">
        <w:rPr>
          <w:lang w:val="en-GB"/>
        </w:rPr>
        <w:t xml:space="preserve">based on </w:t>
      </w:r>
      <w:r w:rsidR="003F268C" w:rsidRPr="00A858D5">
        <w:rPr>
          <w:lang w:val="en-GB"/>
        </w:rPr>
        <w:t xml:space="preserve">the </w:t>
      </w:r>
      <w:r w:rsidR="002708AE" w:rsidRPr="00A858D5">
        <w:rPr>
          <w:lang w:val="en-GB"/>
        </w:rPr>
        <w:t>2001 Belgian census linked to</w:t>
      </w:r>
      <w:r w:rsidR="003F268C" w:rsidRPr="00A858D5">
        <w:rPr>
          <w:lang w:val="en-GB"/>
        </w:rPr>
        <w:t xml:space="preserve"> register data on </w:t>
      </w:r>
      <w:r w:rsidR="002708AE" w:rsidRPr="00A858D5">
        <w:rPr>
          <w:lang w:val="en-GB"/>
        </w:rPr>
        <w:t xml:space="preserve">mortality and </w:t>
      </w:r>
      <w:r w:rsidR="003F268C" w:rsidRPr="00A858D5">
        <w:rPr>
          <w:lang w:val="en-GB"/>
        </w:rPr>
        <w:t xml:space="preserve">emigration </w:t>
      </w:r>
      <w:r w:rsidR="002B5951" w:rsidRPr="00A858D5">
        <w:rPr>
          <w:lang w:val="en-GB"/>
        </w:rPr>
        <w:t xml:space="preserve">during </w:t>
      </w:r>
      <w:r w:rsidR="00E913B5" w:rsidRPr="00A858D5">
        <w:rPr>
          <w:lang w:val="en-GB"/>
        </w:rPr>
        <w:t xml:space="preserve">a </w:t>
      </w:r>
      <w:r w:rsidR="003F268C" w:rsidRPr="00A858D5">
        <w:rPr>
          <w:lang w:val="en-GB"/>
        </w:rPr>
        <w:t xml:space="preserve">follow-up period from 1 October 2001 until 31 December </w:t>
      </w:r>
      <w:r w:rsidR="00B42ECD" w:rsidRPr="00A858D5">
        <w:rPr>
          <w:lang w:val="en-GB"/>
        </w:rPr>
        <w:t>2014</w:t>
      </w:r>
      <w:r w:rsidR="00313589" w:rsidRPr="00A858D5">
        <w:rPr>
          <w:lang w:val="en-GB"/>
        </w:rPr>
        <w:t xml:space="preserve"> (13.25 years of follow-up)</w:t>
      </w:r>
      <w:r w:rsidR="003F268C" w:rsidRPr="00A858D5">
        <w:rPr>
          <w:lang w:val="en-GB"/>
        </w:rPr>
        <w:t xml:space="preserve">. </w:t>
      </w:r>
      <w:r w:rsidR="004032A4" w:rsidRPr="00A858D5">
        <w:rPr>
          <w:lang w:val="en-GB"/>
        </w:rPr>
        <w:t xml:space="preserve">Data on </w:t>
      </w:r>
      <w:r w:rsidR="008B4344" w:rsidRPr="00A858D5">
        <w:rPr>
          <w:lang w:val="en-GB"/>
        </w:rPr>
        <w:t xml:space="preserve">original </w:t>
      </w:r>
      <w:r w:rsidR="004032A4" w:rsidRPr="00A858D5">
        <w:rPr>
          <w:lang w:val="en-GB"/>
        </w:rPr>
        <w:t>c</w:t>
      </w:r>
      <w:r w:rsidR="003F268C" w:rsidRPr="00A858D5">
        <w:rPr>
          <w:lang w:val="en-GB"/>
        </w:rPr>
        <w:t xml:space="preserve">auses of death </w:t>
      </w:r>
      <w:r w:rsidR="008B4344" w:rsidRPr="00A858D5">
        <w:rPr>
          <w:lang w:val="en-GB"/>
        </w:rPr>
        <w:t>issued</w:t>
      </w:r>
      <w:r w:rsidR="004032A4" w:rsidRPr="00A858D5">
        <w:rPr>
          <w:lang w:val="en-GB"/>
        </w:rPr>
        <w:t xml:space="preserve"> from death certificates </w:t>
      </w:r>
      <w:r w:rsidR="003F268C" w:rsidRPr="00A858D5">
        <w:rPr>
          <w:lang w:val="en-GB"/>
        </w:rPr>
        <w:t xml:space="preserve">were </w:t>
      </w:r>
      <w:r w:rsidR="004032A4" w:rsidRPr="00A858D5">
        <w:rPr>
          <w:lang w:val="en-GB"/>
        </w:rPr>
        <w:t xml:space="preserve">coded </w:t>
      </w:r>
      <w:r w:rsidR="003F268C" w:rsidRPr="00A858D5">
        <w:rPr>
          <w:lang w:val="en-GB"/>
        </w:rPr>
        <w:t>using the 10</w:t>
      </w:r>
      <w:r w:rsidR="003F268C" w:rsidRPr="00A858D5">
        <w:rPr>
          <w:vertAlign w:val="superscript"/>
          <w:lang w:val="en-GB"/>
        </w:rPr>
        <w:t>th</w:t>
      </w:r>
      <w:r w:rsidR="003F268C" w:rsidRPr="00A858D5">
        <w:rPr>
          <w:lang w:val="en-GB"/>
        </w:rPr>
        <w:t xml:space="preserve"> revision of the International Classification of Disease (ICD-10)</w:t>
      </w:r>
      <w:r w:rsidR="00B112D8" w:rsidRPr="00A858D5">
        <w:rPr>
          <w:lang w:val="en-GB"/>
        </w:rPr>
        <w:t xml:space="preserve"> </w:t>
      </w:r>
      <w:r w:rsidR="00B112D8" w:rsidRPr="00A858D5">
        <w:rPr>
          <w:lang w:val="en-GB"/>
        </w:rPr>
        <w:fldChar w:fldCharType="begin" w:fldLock="1"/>
      </w:r>
      <w:r w:rsidR="009F0D48" w:rsidRPr="00A858D5">
        <w:rPr>
          <w:lang w:val="en-GB"/>
        </w:rPr>
        <w:instrText>ADDIN CSL_CITATION {"citationItems":[{"id":"ITEM-1","itemData":{"URL":"https://icd.who.int/browse10/2016/en","accessed":{"date-parts":[["2019","10","9"]]},"author":[{"dropping-particle":"","family":"WHO","given":"","non-dropping-particle":"","parse-names":false,"suffix":""}],"id":"ITEM-1","issued":{"date-parts":[["2016"]]},"title":"ICD-10 Version:2016","type":"webpage"},"uris":["http://www.mendeley.com/documents/?uuid=5abdbf60-d531-4066-b42b-22b489991cd1"]}],"mendeley":{"formattedCitation":"(WHO, 2016)","manualFormatting":"(WHO (World Health Organization), 2016)","plainTextFormattedCitation":"(WHO, 2016)","previouslyFormattedCitation":"(WHO, 2016)"},"properties":{"noteIndex":0},"schema":"https://github.com/citation-style-language/schema/raw/master/csl-citation.json"}</w:instrText>
      </w:r>
      <w:r w:rsidR="00B112D8" w:rsidRPr="00A858D5">
        <w:rPr>
          <w:lang w:val="en-GB"/>
        </w:rPr>
        <w:fldChar w:fldCharType="separate"/>
      </w:r>
      <w:r w:rsidR="00D65768" w:rsidRPr="00A858D5">
        <w:rPr>
          <w:noProof/>
          <w:lang w:val="en-GB"/>
        </w:rPr>
        <w:t>(WHO</w:t>
      </w:r>
      <w:r w:rsidR="00316666" w:rsidRPr="00A858D5">
        <w:rPr>
          <w:noProof/>
          <w:lang w:val="en-GB"/>
        </w:rPr>
        <w:t xml:space="preserve"> (World Health Organization)</w:t>
      </w:r>
      <w:r w:rsidR="00D65768" w:rsidRPr="00A858D5">
        <w:rPr>
          <w:noProof/>
          <w:lang w:val="en-GB"/>
        </w:rPr>
        <w:t>, 2016)</w:t>
      </w:r>
      <w:r w:rsidR="00B112D8" w:rsidRPr="00A858D5">
        <w:rPr>
          <w:lang w:val="en-GB"/>
        </w:rPr>
        <w:fldChar w:fldCharType="end"/>
      </w:r>
      <w:r w:rsidR="003F268C" w:rsidRPr="00A858D5">
        <w:rPr>
          <w:lang w:val="en-GB"/>
        </w:rPr>
        <w:t xml:space="preserve">. The 2001 Belgian census contains </w:t>
      </w:r>
      <w:r w:rsidR="004032A4" w:rsidRPr="00A858D5">
        <w:rPr>
          <w:lang w:val="en-GB"/>
        </w:rPr>
        <w:t xml:space="preserve">data on self-perceived health and </w:t>
      </w:r>
      <w:r w:rsidR="003F268C" w:rsidRPr="00A858D5">
        <w:rPr>
          <w:lang w:val="en-GB"/>
        </w:rPr>
        <w:t xml:space="preserve">a wide set of </w:t>
      </w:r>
      <w:r w:rsidR="004032A4" w:rsidRPr="00A858D5">
        <w:rPr>
          <w:lang w:val="en-GB"/>
        </w:rPr>
        <w:t>socio</w:t>
      </w:r>
      <w:r w:rsidR="003F268C" w:rsidRPr="00A858D5">
        <w:rPr>
          <w:lang w:val="en-GB"/>
        </w:rPr>
        <w:t>demographic and socioeconomic variables for the total population officially residing in Belgium</w:t>
      </w:r>
      <w:r w:rsidR="006A3252" w:rsidRPr="00A858D5">
        <w:rPr>
          <w:lang w:val="en-GB"/>
        </w:rPr>
        <w:t xml:space="preserve"> at the time of the census</w:t>
      </w:r>
      <w:r w:rsidR="003F268C" w:rsidRPr="00A858D5">
        <w:rPr>
          <w:lang w:val="en-GB"/>
        </w:rPr>
        <w:t xml:space="preserve">. </w:t>
      </w:r>
      <w:r w:rsidR="0030341E" w:rsidRPr="00C0054A">
        <w:t>In Brussels, response rate was around 80%</w:t>
      </w:r>
      <w:r w:rsidR="0078512A" w:rsidRPr="00C0054A">
        <w:t>.</w:t>
      </w:r>
      <w:r w:rsidR="0078512A">
        <w:rPr>
          <w:i/>
          <w:iCs/>
        </w:rPr>
        <w:t xml:space="preserve"> </w:t>
      </w:r>
      <w:r w:rsidR="004032A4" w:rsidRPr="00A858D5">
        <w:rPr>
          <w:lang w:val="en-GB"/>
        </w:rPr>
        <w:t>In addition, s</w:t>
      </w:r>
      <w:r w:rsidR="003F268C" w:rsidRPr="00A858D5">
        <w:rPr>
          <w:lang w:val="en-GB"/>
        </w:rPr>
        <w:t>everal environmental indicators</w:t>
      </w:r>
      <w:r w:rsidR="006A3252" w:rsidRPr="00A858D5">
        <w:rPr>
          <w:lang w:val="en-GB"/>
        </w:rPr>
        <w:t xml:space="preserve"> (i.e.</w:t>
      </w:r>
      <w:r w:rsidR="00552EDF">
        <w:rPr>
          <w:lang w:val="en-GB"/>
        </w:rPr>
        <w:t>,</w:t>
      </w:r>
      <w:r w:rsidR="006A3252" w:rsidRPr="00A858D5">
        <w:rPr>
          <w:lang w:val="en-GB"/>
        </w:rPr>
        <w:t xml:space="preserve"> UGS, ambient air pollution and noise)</w:t>
      </w:r>
      <w:r w:rsidR="003F268C" w:rsidRPr="00A858D5">
        <w:rPr>
          <w:lang w:val="en-GB"/>
        </w:rPr>
        <w:t xml:space="preserve"> were linked</w:t>
      </w:r>
      <w:r w:rsidR="00296059" w:rsidRPr="00A858D5">
        <w:rPr>
          <w:lang w:val="en-GB"/>
        </w:rPr>
        <w:t xml:space="preserve"> to </w:t>
      </w:r>
      <w:r w:rsidR="00CD7E65" w:rsidRPr="00A858D5">
        <w:rPr>
          <w:lang w:val="en-GB"/>
        </w:rPr>
        <w:t xml:space="preserve">the </w:t>
      </w:r>
      <w:r w:rsidR="006A3252" w:rsidRPr="00A858D5">
        <w:rPr>
          <w:lang w:val="en-GB"/>
        </w:rPr>
        <w:t xml:space="preserve">2001 Belgian census </w:t>
      </w:r>
      <w:r w:rsidR="00296059" w:rsidRPr="00A858D5">
        <w:rPr>
          <w:lang w:val="en-GB"/>
        </w:rPr>
        <w:t>using</w:t>
      </w:r>
      <w:r w:rsidR="003F268C" w:rsidRPr="00A858D5">
        <w:rPr>
          <w:lang w:val="en-GB"/>
        </w:rPr>
        <w:t xml:space="preserve"> the </w:t>
      </w:r>
      <w:r w:rsidR="004032A4" w:rsidRPr="00A858D5">
        <w:rPr>
          <w:lang w:val="en-GB"/>
        </w:rPr>
        <w:t xml:space="preserve">official </w:t>
      </w:r>
      <w:r w:rsidR="003F268C" w:rsidRPr="00A858D5">
        <w:rPr>
          <w:lang w:val="en-GB"/>
        </w:rPr>
        <w:t xml:space="preserve">residential address of </w:t>
      </w:r>
      <w:proofErr w:type="gramStart"/>
      <w:r w:rsidR="003F268C" w:rsidRPr="00A858D5">
        <w:rPr>
          <w:lang w:val="en-GB"/>
        </w:rPr>
        <w:t>each individual</w:t>
      </w:r>
      <w:proofErr w:type="gramEnd"/>
      <w:r w:rsidR="006A3252" w:rsidRPr="00A858D5">
        <w:rPr>
          <w:lang w:val="en-GB"/>
        </w:rPr>
        <w:t xml:space="preserve"> at baseline</w:t>
      </w:r>
      <w:r w:rsidR="003F268C" w:rsidRPr="00A858D5">
        <w:rPr>
          <w:lang w:val="en-GB"/>
        </w:rPr>
        <w:t xml:space="preserve">. </w:t>
      </w:r>
      <w:r w:rsidR="00B112D8" w:rsidRPr="00A858D5">
        <w:rPr>
          <w:bCs/>
          <w:lang w:val="en-GB"/>
        </w:rPr>
        <w:t xml:space="preserve">The linkage procedure was done by a third </w:t>
      </w:r>
      <w:r w:rsidR="00296059" w:rsidRPr="00A858D5">
        <w:rPr>
          <w:bCs/>
          <w:lang w:val="en-GB"/>
        </w:rPr>
        <w:t>party at Statistics Belgium</w:t>
      </w:r>
      <w:r w:rsidR="00B112D8" w:rsidRPr="00A858D5">
        <w:rPr>
          <w:bCs/>
          <w:lang w:val="en-GB"/>
        </w:rPr>
        <w:t xml:space="preserve"> (</w:t>
      </w:r>
      <w:hyperlink r:id="rId18" w:history="1">
        <w:r w:rsidR="00B112D8" w:rsidRPr="00A858D5">
          <w:rPr>
            <w:rStyle w:val="Hyperlink"/>
            <w:bCs/>
            <w:szCs w:val="22"/>
            <w:lang w:val="en-GB"/>
          </w:rPr>
          <w:t>https://statbel.fgov.be/en</w:t>
        </w:r>
      </w:hyperlink>
      <w:r w:rsidR="00B112D8" w:rsidRPr="00A858D5">
        <w:rPr>
          <w:bCs/>
          <w:lang w:val="en-GB"/>
        </w:rPr>
        <w:t>)</w:t>
      </w:r>
      <w:r w:rsidR="00CD7E65" w:rsidRPr="00A858D5">
        <w:rPr>
          <w:bCs/>
          <w:lang w:val="en-GB"/>
        </w:rPr>
        <w:t xml:space="preserve"> in line with all </w:t>
      </w:r>
      <w:r w:rsidR="00B112D8" w:rsidRPr="00A858D5">
        <w:rPr>
          <w:bCs/>
          <w:lang w:val="en-GB"/>
        </w:rPr>
        <w:t>privacy</w:t>
      </w:r>
      <w:r w:rsidR="00CD7E65" w:rsidRPr="00A858D5">
        <w:rPr>
          <w:bCs/>
          <w:lang w:val="en-GB"/>
        </w:rPr>
        <w:t xml:space="preserve"> norms</w:t>
      </w:r>
      <w:r w:rsidR="00B112D8" w:rsidRPr="00A858D5">
        <w:rPr>
          <w:bCs/>
          <w:lang w:val="en-GB"/>
        </w:rPr>
        <w:t>.</w:t>
      </w:r>
      <w:r w:rsidR="00EC0AF4" w:rsidRPr="00A858D5" w:rsidDel="00EC0AF4">
        <w:rPr>
          <w:lang w:val="en-GB"/>
        </w:rPr>
        <w:t xml:space="preserve"> </w:t>
      </w:r>
      <w:r w:rsidR="00F9535F" w:rsidRPr="00A858D5">
        <w:rPr>
          <w:lang w:val="en-GB"/>
        </w:rPr>
        <w:t>W</w:t>
      </w:r>
      <w:r w:rsidR="000D4D14" w:rsidRPr="00A858D5">
        <w:rPr>
          <w:lang w:val="en-GB"/>
        </w:rPr>
        <w:t xml:space="preserve">e included all individuals aged 16 to 80 </w:t>
      </w:r>
      <w:r w:rsidR="00757B2B" w:rsidRPr="00A858D5">
        <w:rPr>
          <w:lang w:val="en-GB"/>
        </w:rPr>
        <w:t>who</w:t>
      </w:r>
      <w:r w:rsidR="001A51FB" w:rsidRPr="00A858D5">
        <w:rPr>
          <w:lang w:val="en-GB"/>
        </w:rPr>
        <w:t xml:space="preserve"> </w:t>
      </w:r>
      <w:r w:rsidR="000D4D14" w:rsidRPr="00A858D5">
        <w:rPr>
          <w:lang w:val="en-GB"/>
        </w:rPr>
        <w:t>officially resid</w:t>
      </w:r>
      <w:r w:rsidR="00757B2B" w:rsidRPr="00A858D5">
        <w:rPr>
          <w:lang w:val="en-GB"/>
        </w:rPr>
        <w:t>ed</w:t>
      </w:r>
      <w:r w:rsidR="000D4D14" w:rsidRPr="00A858D5">
        <w:rPr>
          <w:lang w:val="en-GB"/>
        </w:rPr>
        <w:t xml:space="preserve"> in the BCR</w:t>
      </w:r>
      <w:r w:rsidR="0023436E" w:rsidRPr="00A858D5">
        <w:rPr>
          <w:lang w:val="en-GB"/>
        </w:rPr>
        <w:t xml:space="preserve"> </w:t>
      </w:r>
      <w:r w:rsidR="00757B2B" w:rsidRPr="00A858D5">
        <w:rPr>
          <w:lang w:val="en-GB"/>
        </w:rPr>
        <w:t xml:space="preserve">according to the Belgian census 2001 and for </w:t>
      </w:r>
      <w:r w:rsidR="00AD182F" w:rsidRPr="00A858D5">
        <w:rPr>
          <w:lang w:val="en-GB"/>
        </w:rPr>
        <w:t>whom information</w:t>
      </w:r>
      <w:r w:rsidR="000D4D14" w:rsidRPr="00A858D5">
        <w:rPr>
          <w:lang w:val="en-GB"/>
        </w:rPr>
        <w:t xml:space="preserve"> on the exact </w:t>
      </w:r>
      <w:r w:rsidR="005531CC" w:rsidRPr="00A858D5">
        <w:rPr>
          <w:lang w:val="en-GB"/>
        </w:rPr>
        <w:t xml:space="preserve">official </w:t>
      </w:r>
      <w:r w:rsidR="000D4D14" w:rsidRPr="00A858D5">
        <w:rPr>
          <w:lang w:val="en-GB"/>
        </w:rPr>
        <w:t xml:space="preserve">home address </w:t>
      </w:r>
      <w:r w:rsidR="00757B2B" w:rsidRPr="00A858D5">
        <w:rPr>
          <w:lang w:val="en-GB"/>
        </w:rPr>
        <w:t>was available</w:t>
      </w:r>
      <w:r w:rsidR="005445A6" w:rsidRPr="005445A6">
        <w:rPr>
          <w:lang w:val="en-GB"/>
        </w:rPr>
        <w:t xml:space="preserve"> </w:t>
      </w:r>
      <w:r w:rsidR="005445A6" w:rsidRPr="00C0054A">
        <w:rPr>
          <w:lang w:val="en-GB"/>
        </w:rPr>
        <w:t>(</w:t>
      </w:r>
      <w:r w:rsidR="00F52AD0" w:rsidRPr="00C0054A">
        <w:rPr>
          <w:lang w:val="en-GB"/>
        </w:rPr>
        <w:t>971 observations excluded,</w:t>
      </w:r>
      <w:r w:rsidR="005445A6" w:rsidRPr="00C0054A">
        <w:rPr>
          <w:lang w:val="en-GB"/>
        </w:rPr>
        <w:t xml:space="preserve"> </w:t>
      </w:r>
      <w:r w:rsidR="00F52AD0" w:rsidRPr="00C0054A">
        <w:rPr>
          <w:lang w:val="en-GB"/>
        </w:rPr>
        <w:t>0.13</w:t>
      </w:r>
      <w:r w:rsidR="005445A6" w:rsidRPr="00C0054A">
        <w:rPr>
          <w:lang w:val="en-GB"/>
        </w:rPr>
        <w:t>%)</w:t>
      </w:r>
      <w:r w:rsidR="008623CD" w:rsidRPr="00C0054A">
        <w:rPr>
          <w:lang w:val="en-GB"/>
        </w:rPr>
        <w:t xml:space="preserve"> </w:t>
      </w:r>
      <w:r w:rsidR="008623CD" w:rsidRPr="00A858D5">
        <w:rPr>
          <w:lang w:val="en-GB"/>
        </w:rPr>
        <w:t>(N=</w:t>
      </w:r>
      <w:r w:rsidR="00D301EB" w:rsidRPr="00A858D5">
        <w:rPr>
          <w:lang w:val="en-GB"/>
        </w:rPr>
        <w:t>5</w:t>
      </w:r>
      <w:r w:rsidR="007A3EDC" w:rsidRPr="00A858D5">
        <w:rPr>
          <w:lang w:val="en-GB"/>
        </w:rPr>
        <w:t>71</w:t>
      </w:r>
      <w:r w:rsidR="008623CD" w:rsidRPr="00A858D5">
        <w:rPr>
          <w:lang w:val="en-GB"/>
        </w:rPr>
        <w:t>,</w:t>
      </w:r>
      <w:r w:rsidR="007A3EDC" w:rsidRPr="00A858D5">
        <w:rPr>
          <w:lang w:val="en-GB"/>
        </w:rPr>
        <w:t>558</w:t>
      </w:r>
      <w:r w:rsidR="008623CD" w:rsidRPr="00A858D5">
        <w:rPr>
          <w:lang w:val="en-GB"/>
        </w:rPr>
        <w:t xml:space="preserve"> individuals)</w:t>
      </w:r>
      <w:r w:rsidR="003376B0" w:rsidRPr="00A858D5">
        <w:rPr>
          <w:lang w:val="en-GB"/>
        </w:rPr>
        <w:t>.</w:t>
      </w:r>
    </w:p>
    <w:p w14:paraId="350EAAE0" w14:textId="45E2F714" w:rsidR="00125844" w:rsidRPr="00A858D5" w:rsidRDefault="00BA0551" w:rsidP="008B20D9">
      <w:pPr>
        <w:pStyle w:val="Heading2"/>
        <w:rPr>
          <w:lang w:val="en-GB"/>
        </w:rPr>
      </w:pPr>
      <w:r w:rsidRPr="00A858D5">
        <w:rPr>
          <w:lang w:val="en-GB"/>
        </w:rPr>
        <w:t>Health outcomes</w:t>
      </w:r>
    </w:p>
    <w:p w14:paraId="418DD611" w14:textId="24B8C23F" w:rsidR="00BA0551" w:rsidRPr="00A858D5" w:rsidRDefault="00D1766A" w:rsidP="009D5988">
      <w:pPr>
        <w:rPr>
          <w:lang w:val="en-GB"/>
        </w:rPr>
      </w:pPr>
      <w:r w:rsidRPr="00A858D5">
        <w:rPr>
          <w:lang w:val="en-GB"/>
        </w:rPr>
        <w:t>Health outcomes used i</w:t>
      </w:r>
      <w:r w:rsidR="000B7A4F" w:rsidRPr="00A858D5">
        <w:rPr>
          <w:lang w:val="en-GB"/>
        </w:rPr>
        <w:t>n this study</w:t>
      </w:r>
      <w:r w:rsidRPr="00A858D5">
        <w:rPr>
          <w:lang w:val="en-GB"/>
        </w:rPr>
        <w:t xml:space="preserve"> were </w:t>
      </w:r>
      <w:r w:rsidR="000B7A4F" w:rsidRPr="00A858D5">
        <w:rPr>
          <w:lang w:val="en-GB"/>
        </w:rPr>
        <w:t xml:space="preserve">self-perceived health and natural cause mortality. </w:t>
      </w:r>
      <w:r w:rsidR="00296059" w:rsidRPr="00A858D5">
        <w:rPr>
          <w:lang w:val="en-GB"/>
        </w:rPr>
        <w:t xml:space="preserve">Information on self-perceived health was obtained from the 2001 </w:t>
      </w:r>
      <w:r w:rsidRPr="00A858D5">
        <w:rPr>
          <w:lang w:val="en-GB"/>
        </w:rPr>
        <w:t>c</w:t>
      </w:r>
      <w:r w:rsidR="00296059" w:rsidRPr="00A858D5">
        <w:rPr>
          <w:lang w:val="en-GB"/>
        </w:rPr>
        <w:t xml:space="preserve">ensus by asking respondents to rate their general health </w:t>
      </w:r>
      <w:r w:rsidR="00515F6E" w:rsidRPr="00A858D5">
        <w:rPr>
          <w:lang w:val="en-GB"/>
        </w:rPr>
        <w:t>on</w:t>
      </w:r>
      <w:r w:rsidR="00296059" w:rsidRPr="00A858D5">
        <w:rPr>
          <w:lang w:val="en-GB"/>
        </w:rPr>
        <w:t xml:space="preserve"> a five-point Likert scale. </w:t>
      </w:r>
      <w:r w:rsidR="007C04B8" w:rsidRPr="00A858D5">
        <w:rPr>
          <w:lang w:val="en-GB"/>
        </w:rPr>
        <w:t xml:space="preserve">Following the methodology from previous studies, we </w:t>
      </w:r>
      <w:r w:rsidR="00A564C8" w:rsidRPr="00A858D5">
        <w:rPr>
          <w:lang w:val="en-GB"/>
        </w:rPr>
        <w:t>dichotomized</w:t>
      </w:r>
      <w:r w:rsidR="00296059" w:rsidRPr="00A858D5">
        <w:rPr>
          <w:lang w:val="en-GB"/>
        </w:rPr>
        <w:t xml:space="preserve"> </w:t>
      </w:r>
      <w:r w:rsidR="00A1055F" w:rsidRPr="00A858D5">
        <w:rPr>
          <w:lang w:val="en-GB"/>
        </w:rPr>
        <w:t xml:space="preserve">this variable </w:t>
      </w:r>
      <w:r w:rsidR="00296059" w:rsidRPr="00A858D5">
        <w:rPr>
          <w:lang w:val="en-GB"/>
        </w:rPr>
        <w:t xml:space="preserve">as “good self-perceived health” </w:t>
      </w:r>
      <w:r w:rsidR="00C916CC" w:rsidRPr="00A858D5">
        <w:rPr>
          <w:lang w:val="en-GB"/>
        </w:rPr>
        <w:t>(</w:t>
      </w:r>
      <w:r w:rsidR="00296059" w:rsidRPr="00A858D5">
        <w:rPr>
          <w:lang w:val="en-GB"/>
        </w:rPr>
        <w:t>“good” or “very good”</w:t>
      </w:r>
      <w:r w:rsidR="005D7078" w:rsidRPr="00A858D5">
        <w:rPr>
          <w:lang w:val="en-GB"/>
        </w:rPr>
        <w:t>)</w:t>
      </w:r>
      <w:r w:rsidR="00296059" w:rsidRPr="00A858D5">
        <w:rPr>
          <w:lang w:val="en-GB"/>
        </w:rPr>
        <w:t xml:space="preserve"> </w:t>
      </w:r>
      <w:r w:rsidR="005D7078" w:rsidRPr="00A858D5">
        <w:rPr>
          <w:lang w:val="en-GB"/>
        </w:rPr>
        <w:t xml:space="preserve">versus </w:t>
      </w:r>
      <w:r w:rsidR="00296059" w:rsidRPr="00A858D5">
        <w:rPr>
          <w:lang w:val="en-GB"/>
        </w:rPr>
        <w:t>“poor</w:t>
      </w:r>
      <w:r w:rsidR="00B81DDF" w:rsidRPr="00A858D5">
        <w:rPr>
          <w:lang w:val="en-GB"/>
        </w:rPr>
        <w:t xml:space="preserve"> self-perceived health</w:t>
      </w:r>
      <w:r w:rsidR="00296059" w:rsidRPr="00A858D5">
        <w:rPr>
          <w:lang w:val="en-GB"/>
        </w:rPr>
        <w:t xml:space="preserve">” </w:t>
      </w:r>
      <w:r w:rsidR="005D7078" w:rsidRPr="00A858D5">
        <w:rPr>
          <w:lang w:val="en-GB"/>
        </w:rPr>
        <w:t>(</w:t>
      </w:r>
      <w:r w:rsidR="00C916CC" w:rsidRPr="00A858D5">
        <w:rPr>
          <w:lang w:val="en-GB"/>
        </w:rPr>
        <w:t xml:space="preserve">“fair”, </w:t>
      </w:r>
      <w:r w:rsidR="00296059" w:rsidRPr="00A858D5">
        <w:rPr>
          <w:lang w:val="en-GB"/>
        </w:rPr>
        <w:t>“poor” or “very poor”</w:t>
      </w:r>
      <w:r w:rsidR="005D7078" w:rsidRPr="00A858D5">
        <w:rPr>
          <w:lang w:val="en-GB"/>
        </w:rPr>
        <w:t xml:space="preserve"> </w:t>
      </w:r>
      <w:r w:rsidR="00B81DDF" w:rsidRPr="00A858D5">
        <w:rPr>
          <w:lang w:val="en-GB"/>
        </w:rPr>
        <w:t>health)</w:t>
      </w:r>
      <w:r w:rsidR="003D469F" w:rsidRPr="00A858D5">
        <w:rPr>
          <w:lang w:val="en-GB"/>
        </w:rPr>
        <w:t xml:space="preserve">, using </w:t>
      </w:r>
      <w:r w:rsidR="003D469F" w:rsidRPr="00A858D5">
        <w:rPr>
          <w:i/>
          <w:iCs/>
          <w:lang w:val="en-GB"/>
        </w:rPr>
        <w:t>less than good health</w:t>
      </w:r>
      <w:r w:rsidR="007C13D1" w:rsidRPr="00A858D5">
        <w:rPr>
          <w:i/>
          <w:iCs/>
          <w:lang w:val="en-GB"/>
        </w:rPr>
        <w:t xml:space="preserve"> </w:t>
      </w:r>
      <w:r w:rsidR="007C13D1" w:rsidRPr="00A858D5">
        <w:rPr>
          <w:lang w:val="en-GB"/>
        </w:rPr>
        <w:t>as cut-off point</w:t>
      </w:r>
      <w:r w:rsidR="00CB4E56" w:rsidRPr="00A858D5">
        <w:rPr>
          <w:lang w:val="en-GB"/>
        </w:rPr>
        <w:t xml:space="preserve"> </w:t>
      </w:r>
      <w:r w:rsidR="00D25E25" w:rsidRPr="00A858D5">
        <w:rPr>
          <w:lang w:val="en-GB"/>
        </w:rPr>
        <w:fldChar w:fldCharType="begin" w:fldLock="1"/>
      </w:r>
      <w:r w:rsidR="00452D47">
        <w:rPr>
          <w:lang w:val="en-GB"/>
        </w:rPr>
        <w:instrText>ADDIN CSL_CITATION {"citationItems":[{"id":"ITEM-1","itemData":{"DOI":"10.1136/jech.2005.043125","author":[{"dropping-particle":"","family":"Maas","given":"J","non-dropping-particle":"","parse-names":false,"suffix":""},{"dropping-particle":"","family":"Verheij","given":"Robert A","non-dropping-particle":"","parse-names":false,"suffix":""},{"dropping-particle":"","family":"Groenewegen","given":"Peter P","non-dropping-particle":"","parse-names":false,"suffix":""},{"dropping-particle":"","family":"Vries","given":"Sjerp","non-dropping-particle":"De","parse-names":false,"suffix":""},{"dropping-particle":"","family":"Spreeuwenberg","given":"Peter","non-dropping-particle":"","parse-names":false,"suffix":""}],"container-title":"Journal of Epidemiology and Community Health","id":"ITEM-1","issued":{"date-parts":[["2006"]]},"page":"587-592","title":"Green space, urbanity, and health: how strong is the relation ?","type":"article-journal","volume":"60"},"uris":["http://www.mendeley.com/documents/?uuid=e73cd8c5-0fa5-4a74-bac6-df497f45e19f"]},{"id":"ITEM-2","itemData":{"DOI":"10.1016/j.envint.2015.01.012","author":[{"dropping-particle":"","family":"Triguero-Mas","given":"Margarita","non-dropping-particle":"","parse-names":false,"suffix":""},{"dropping-particle":"","family":"Dadvand","given":"Payam","non-dropping-particle":"","parse-names":false,"suffix":""},{"dropping-particle":"","family":"Cirach","given":"Marta","non-dropping-particle":"","parse-names":false,"suffix":""},{"dropping-particle":"","family":"Martínez","given":"David","non-dropping-particle":"","parse-names":false,"suffix":""},{"dropping-particle":"","family":"Medina","given":"Antonia","non-dropping-particle":"","parse-names":false,"suffix":""},{"dropping-particle":"","family":"Mompart","given":"Anna","non-dropping-particle":"","parse-names":false,"suffix":""},{"dropping-particle":"","family":"Basagaña","given":"Xavier","non-dropping-particle":"","parse-names":false,"suffix":""},{"dropping-particle":"","family":"Gražulevičienė","given":"Regina","non-dropping-particle":"","parse-names":false,"suffix":""},{"dropping-particle":"","family":"Nieuwenhuijsen","given":"Mark J","non-dropping-particle":"","parse-names":false,"suffix":""}],"container-title":"Environment International","id":"ITEM-2","issued":{"date-parts":[["2015"]]},"page":"35-41","title":"Natural outdoor environments and mental and physical health : Relationships and mechanisms","type":"article-journal","volume":"77"},"uris":["http://www.mendeley.com/documents/?uuid=5dc0813b-3dc5-47ac-afec-463658e4c795"]}],"mendeley":{"formattedCitation":"(Maas et al., 2006; Triguero-Mas et al., 2015)","plainTextFormattedCitation":"(Maas et al., 2006; Triguero-Mas et al., 2015)","previouslyFormattedCitation":"(Maas et al., 2006; Triguero-Mas et al., 2015)"},"properties":{"noteIndex":0},"schema":"https://github.com/citation-style-language/schema/raw/master/csl-citation.json"}</w:instrText>
      </w:r>
      <w:r w:rsidR="00D25E25" w:rsidRPr="00A858D5">
        <w:rPr>
          <w:lang w:val="en-GB"/>
        </w:rPr>
        <w:fldChar w:fldCharType="separate"/>
      </w:r>
      <w:r w:rsidR="009F0D48" w:rsidRPr="00113E16">
        <w:rPr>
          <w:noProof/>
          <w:lang w:val="en-GB"/>
        </w:rPr>
        <w:t>(Maas et al., 2006; Triguero-Mas et al., 2015)</w:t>
      </w:r>
      <w:r w:rsidR="00D25E25" w:rsidRPr="00A858D5">
        <w:rPr>
          <w:lang w:val="en-GB"/>
        </w:rPr>
        <w:fldChar w:fldCharType="end"/>
      </w:r>
      <w:r w:rsidR="00296059" w:rsidRPr="00A858D5">
        <w:rPr>
          <w:lang w:val="en-GB"/>
        </w:rPr>
        <w:t xml:space="preserve">. </w:t>
      </w:r>
      <w:r w:rsidR="0037180A" w:rsidRPr="00A858D5">
        <w:rPr>
          <w:lang w:val="en-GB"/>
        </w:rPr>
        <w:t>Natural cause mortality</w:t>
      </w:r>
      <w:r w:rsidR="00186544" w:rsidRPr="00A858D5">
        <w:rPr>
          <w:lang w:val="en-GB"/>
        </w:rPr>
        <w:t xml:space="preserve"> was defined using ICD-10 </w:t>
      </w:r>
      <w:r w:rsidR="00186544" w:rsidRPr="00A858D5">
        <w:rPr>
          <w:lang w:val="en-GB"/>
        </w:rPr>
        <w:lastRenderedPageBreak/>
        <w:t>codes</w:t>
      </w:r>
      <w:r w:rsidR="00D00E74" w:rsidRPr="00A858D5">
        <w:rPr>
          <w:lang w:val="en-GB"/>
        </w:rPr>
        <w:t xml:space="preserve"> A00-R99.</w:t>
      </w:r>
      <w:r w:rsidR="00296059" w:rsidRPr="00A858D5">
        <w:rPr>
          <w:lang w:val="en-GB"/>
        </w:rPr>
        <w:t xml:space="preserve"> </w:t>
      </w:r>
      <w:r w:rsidR="00FF0B68" w:rsidRPr="00A858D5">
        <w:rPr>
          <w:lang w:val="en-GB"/>
        </w:rPr>
        <w:t>We excluded d</w:t>
      </w:r>
      <w:r w:rsidR="0093418F" w:rsidRPr="00A858D5">
        <w:rPr>
          <w:lang w:val="en-GB"/>
        </w:rPr>
        <w:t>eaths</w:t>
      </w:r>
      <w:r w:rsidR="00296059" w:rsidRPr="00A858D5">
        <w:rPr>
          <w:lang w:val="en-GB"/>
        </w:rPr>
        <w:t xml:space="preserve"> registered as consequences of external causes</w:t>
      </w:r>
      <w:r w:rsidR="00786380" w:rsidRPr="00A858D5">
        <w:rPr>
          <w:lang w:val="en-GB"/>
        </w:rPr>
        <w:t xml:space="preserve"> </w:t>
      </w:r>
      <w:r w:rsidR="00955517" w:rsidRPr="00A858D5">
        <w:rPr>
          <w:lang w:val="en-GB"/>
        </w:rPr>
        <w:t>in order to</w:t>
      </w:r>
      <w:r w:rsidR="00BC2FF8" w:rsidRPr="00A858D5">
        <w:rPr>
          <w:lang w:val="en-GB"/>
        </w:rPr>
        <w:t xml:space="preserve"> </w:t>
      </w:r>
      <w:r w:rsidR="00BD287E" w:rsidRPr="00A858D5">
        <w:rPr>
          <w:lang w:val="en-GB"/>
        </w:rPr>
        <w:t>exclusively</w:t>
      </w:r>
      <w:r w:rsidR="00955517" w:rsidRPr="00A858D5">
        <w:rPr>
          <w:lang w:val="en-GB"/>
        </w:rPr>
        <w:t xml:space="preserve"> </w:t>
      </w:r>
      <w:r w:rsidR="007611D4" w:rsidRPr="00A858D5">
        <w:rPr>
          <w:lang w:val="en-GB"/>
        </w:rPr>
        <w:t xml:space="preserve">study </w:t>
      </w:r>
      <w:r w:rsidR="007E14E9" w:rsidRPr="00A858D5">
        <w:rPr>
          <w:lang w:val="en-GB"/>
        </w:rPr>
        <w:t xml:space="preserve">associations </w:t>
      </w:r>
      <w:r w:rsidR="00D04ED1" w:rsidRPr="00A858D5">
        <w:rPr>
          <w:lang w:val="en-GB"/>
        </w:rPr>
        <w:t xml:space="preserve">operating </w:t>
      </w:r>
      <w:r w:rsidR="007E14E9" w:rsidRPr="00A858D5">
        <w:rPr>
          <w:lang w:val="en-GB"/>
        </w:rPr>
        <w:t>through</w:t>
      </w:r>
      <w:r w:rsidR="00ED294C" w:rsidRPr="00A858D5">
        <w:rPr>
          <w:lang w:val="en-GB"/>
        </w:rPr>
        <w:t xml:space="preserve"> </w:t>
      </w:r>
      <w:r w:rsidR="0018263F" w:rsidRPr="00A858D5">
        <w:rPr>
          <w:lang w:val="en-GB"/>
        </w:rPr>
        <w:t xml:space="preserve">biological </w:t>
      </w:r>
      <w:r w:rsidR="00D83E79" w:rsidRPr="00A858D5">
        <w:rPr>
          <w:lang w:val="en-GB"/>
        </w:rPr>
        <w:t xml:space="preserve">pathways of </w:t>
      </w:r>
      <w:r w:rsidR="00521BD5" w:rsidRPr="00A858D5">
        <w:rPr>
          <w:lang w:val="en-GB"/>
        </w:rPr>
        <w:t xml:space="preserve">UGS </w:t>
      </w:r>
      <w:r w:rsidR="00D83E79" w:rsidRPr="00A858D5">
        <w:rPr>
          <w:lang w:val="en-GB"/>
        </w:rPr>
        <w:t>exposure</w:t>
      </w:r>
      <w:r w:rsidR="00296059" w:rsidRPr="00A858D5">
        <w:rPr>
          <w:lang w:val="en-GB"/>
        </w:rPr>
        <w:t>.</w:t>
      </w:r>
    </w:p>
    <w:p w14:paraId="318CEAA1" w14:textId="4E03FFDB" w:rsidR="00125844" w:rsidRPr="00A858D5" w:rsidRDefault="008B4437" w:rsidP="008B20D9">
      <w:pPr>
        <w:pStyle w:val="Heading2"/>
        <w:rPr>
          <w:lang w:val="en-GB"/>
        </w:rPr>
      </w:pPr>
      <w:r w:rsidRPr="00A858D5">
        <w:rPr>
          <w:lang w:val="en-GB"/>
        </w:rPr>
        <w:t>Residential</w:t>
      </w:r>
      <w:r w:rsidR="00BA0551" w:rsidRPr="00A858D5">
        <w:rPr>
          <w:lang w:val="en-GB"/>
        </w:rPr>
        <w:t xml:space="preserve"> </w:t>
      </w:r>
      <w:r w:rsidR="00C6322A" w:rsidRPr="00A858D5">
        <w:rPr>
          <w:lang w:val="en-GB"/>
        </w:rPr>
        <w:t>U</w:t>
      </w:r>
      <w:r w:rsidR="00DD0066" w:rsidRPr="00A858D5">
        <w:rPr>
          <w:lang w:val="en-GB"/>
        </w:rPr>
        <w:t xml:space="preserve">rban </w:t>
      </w:r>
      <w:r w:rsidR="00C6322A" w:rsidRPr="00A858D5">
        <w:rPr>
          <w:lang w:val="en-GB"/>
        </w:rPr>
        <w:t>G</w:t>
      </w:r>
      <w:r w:rsidR="00DD0066" w:rsidRPr="00A858D5">
        <w:rPr>
          <w:lang w:val="en-GB"/>
        </w:rPr>
        <w:t xml:space="preserve">reen </w:t>
      </w:r>
      <w:r w:rsidR="00C6322A" w:rsidRPr="00A858D5">
        <w:rPr>
          <w:lang w:val="en-GB"/>
        </w:rPr>
        <w:t>S</w:t>
      </w:r>
      <w:r w:rsidR="00DD0066" w:rsidRPr="00A858D5">
        <w:rPr>
          <w:lang w:val="en-GB"/>
        </w:rPr>
        <w:t>paces</w:t>
      </w:r>
    </w:p>
    <w:p w14:paraId="12811F59" w14:textId="21053B41" w:rsidR="00B112D8" w:rsidRPr="00A858D5" w:rsidRDefault="00BF379A" w:rsidP="009D5988">
      <w:pPr>
        <w:rPr>
          <w:lang w:val="en-GB"/>
        </w:rPr>
      </w:pPr>
      <w:r w:rsidRPr="00A858D5">
        <w:rPr>
          <w:lang w:val="en-GB"/>
        </w:rPr>
        <w:t>Exposure to residential urban green spaces</w:t>
      </w:r>
      <w:r w:rsidR="00701851" w:rsidRPr="00A858D5">
        <w:rPr>
          <w:lang w:val="en-GB"/>
        </w:rPr>
        <w:t xml:space="preserve"> (UGS)</w:t>
      </w:r>
      <w:r w:rsidR="00B112D8" w:rsidRPr="00A858D5">
        <w:rPr>
          <w:lang w:val="en-GB"/>
        </w:rPr>
        <w:t xml:space="preserve"> was measured </w:t>
      </w:r>
      <w:r w:rsidR="00786380" w:rsidRPr="00A858D5">
        <w:rPr>
          <w:lang w:val="en-GB"/>
        </w:rPr>
        <w:t xml:space="preserve">using </w:t>
      </w:r>
      <w:r w:rsidR="0030069C" w:rsidRPr="00A858D5">
        <w:rPr>
          <w:lang w:val="en-GB"/>
        </w:rPr>
        <w:t>one objective (</w:t>
      </w:r>
      <w:r w:rsidR="003F3A51" w:rsidRPr="00A858D5">
        <w:rPr>
          <w:lang w:val="en-GB"/>
        </w:rPr>
        <w:t>surrounding greenness</w:t>
      </w:r>
      <w:r w:rsidR="0030069C" w:rsidRPr="00A858D5">
        <w:rPr>
          <w:lang w:val="en-GB"/>
        </w:rPr>
        <w:t>)</w:t>
      </w:r>
      <w:r w:rsidR="00B112D8" w:rsidRPr="00A858D5">
        <w:rPr>
          <w:lang w:val="en-GB"/>
        </w:rPr>
        <w:t xml:space="preserve"> and </w:t>
      </w:r>
      <w:r w:rsidR="0030069C" w:rsidRPr="00A858D5">
        <w:rPr>
          <w:lang w:val="en-GB"/>
        </w:rPr>
        <w:t>one subjective (</w:t>
      </w:r>
      <w:r w:rsidR="004A3414" w:rsidRPr="00A858D5">
        <w:rPr>
          <w:lang w:val="en-GB"/>
        </w:rPr>
        <w:t xml:space="preserve">perceived </w:t>
      </w:r>
      <w:r w:rsidR="000F06DD" w:rsidRPr="00A858D5">
        <w:rPr>
          <w:lang w:val="en-GB"/>
        </w:rPr>
        <w:t>neighbourhood</w:t>
      </w:r>
      <w:r w:rsidR="00955806" w:rsidRPr="00A858D5">
        <w:rPr>
          <w:lang w:val="en-GB"/>
        </w:rPr>
        <w:t xml:space="preserve"> </w:t>
      </w:r>
      <w:r w:rsidR="0048655B" w:rsidRPr="00A858D5">
        <w:rPr>
          <w:lang w:val="en-GB"/>
        </w:rPr>
        <w:t>greenness</w:t>
      </w:r>
      <w:r w:rsidR="0030069C" w:rsidRPr="00A858D5">
        <w:rPr>
          <w:lang w:val="en-GB"/>
        </w:rPr>
        <w:t>) indicator</w:t>
      </w:r>
      <w:r w:rsidR="00B112D8" w:rsidRPr="00A858D5">
        <w:rPr>
          <w:lang w:val="en-GB"/>
        </w:rPr>
        <w:t>.</w:t>
      </w:r>
      <w:r w:rsidR="0038751E" w:rsidRPr="00A858D5">
        <w:rPr>
          <w:lang w:val="en-GB"/>
        </w:rPr>
        <w:t xml:space="preserve"> </w:t>
      </w:r>
      <w:r w:rsidR="00C06CB1" w:rsidRPr="00A858D5">
        <w:rPr>
          <w:b/>
          <w:bCs/>
          <w:lang w:val="en-GB"/>
        </w:rPr>
        <w:t>S</w:t>
      </w:r>
      <w:r w:rsidR="00C06ABA" w:rsidRPr="00A858D5">
        <w:rPr>
          <w:b/>
          <w:bCs/>
          <w:lang w:val="en-GB"/>
        </w:rPr>
        <w:t>urrounding greenness</w:t>
      </w:r>
      <w:r w:rsidR="00C06CB1" w:rsidRPr="00A858D5">
        <w:rPr>
          <w:lang w:val="en-GB"/>
        </w:rPr>
        <w:t xml:space="preserve"> was measured with</w:t>
      </w:r>
      <w:r w:rsidR="00C06ABA" w:rsidRPr="00A858D5">
        <w:rPr>
          <w:lang w:val="en-GB"/>
        </w:rPr>
        <w:t xml:space="preserve"> the Normali</w:t>
      </w:r>
      <w:r w:rsidR="006C36BD" w:rsidRPr="00A858D5">
        <w:rPr>
          <w:lang w:val="en-GB"/>
        </w:rPr>
        <w:t>z</w:t>
      </w:r>
      <w:r w:rsidR="00C06ABA" w:rsidRPr="00A858D5">
        <w:rPr>
          <w:lang w:val="en-GB"/>
        </w:rPr>
        <w:t>ed Difference Vegetation Index</w:t>
      </w:r>
      <w:r w:rsidR="00B112D8" w:rsidRPr="00A858D5">
        <w:rPr>
          <w:lang w:val="en-GB"/>
        </w:rPr>
        <w:t xml:space="preserve"> </w:t>
      </w:r>
      <w:r w:rsidR="00C06ABA" w:rsidRPr="00A858D5">
        <w:rPr>
          <w:lang w:val="en-GB"/>
        </w:rPr>
        <w:t>(</w:t>
      </w:r>
      <w:r w:rsidR="00B112D8" w:rsidRPr="00A858D5">
        <w:rPr>
          <w:lang w:val="en-GB"/>
        </w:rPr>
        <w:t>NDVI</w:t>
      </w:r>
      <w:r w:rsidR="00C06ABA" w:rsidRPr="00A858D5">
        <w:rPr>
          <w:lang w:val="en-GB"/>
        </w:rPr>
        <w:t>),</w:t>
      </w:r>
      <w:r w:rsidR="00B112D8" w:rsidRPr="00A858D5">
        <w:rPr>
          <w:lang w:val="en-GB"/>
        </w:rPr>
        <w:t xml:space="preserve"> a measure of green density</w:t>
      </w:r>
      <w:r w:rsidR="006C36BD" w:rsidRPr="00A858D5">
        <w:rPr>
          <w:lang w:val="en-GB"/>
        </w:rPr>
        <w:t xml:space="preserve"> based on satellite imagery applying the ratio </w:t>
      </w:r>
      <w:r w:rsidR="00633041" w:rsidRPr="00A858D5">
        <w:rPr>
          <w:lang w:val="en-GB"/>
        </w:rPr>
        <w:t>between</w:t>
      </w:r>
      <w:r w:rsidR="00B112D8" w:rsidRPr="00A858D5">
        <w:rPr>
          <w:lang w:val="en-GB"/>
        </w:rPr>
        <w:t xml:space="preserve"> visible and near-infrared </w:t>
      </w:r>
      <w:r w:rsidR="006C36BD" w:rsidRPr="00A858D5">
        <w:rPr>
          <w:lang w:val="en-GB"/>
        </w:rPr>
        <w:t>light bands</w:t>
      </w:r>
      <w:r w:rsidR="00B112D8" w:rsidRPr="00A858D5">
        <w:rPr>
          <w:lang w:val="en-GB"/>
        </w:rPr>
        <w:t xml:space="preserve">. </w:t>
      </w:r>
      <w:r w:rsidR="0020665E" w:rsidRPr="00A858D5">
        <w:rPr>
          <w:lang w:val="en-GB"/>
        </w:rPr>
        <w:t>NDVI v</w:t>
      </w:r>
      <w:r w:rsidR="00B112D8" w:rsidRPr="00A858D5">
        <w:rPr>
          <w:lang w:val="en-GB"/>
        </w:rPr>
        <w:t>alues rang</w:t>
      </w:r>
      <w:r w:rsidR="0020665E" w:rsidRPr="00A858D5">
        <w:rPr>
          <w:lang w:val="en-GB"/>
        </w:rPr>
        <w:t>e</w:t>
      </w:r>
      <w:r w:rsidR="00B112D8" w:rsidRPr="00A858D5">
        <w:rPr>
          <w:lang w:val="en-GB"/>
        </w:rPr>
        <w:t xml:space="preserve"> from 0 to 1, with </w:t>
      </w:r>
      <w:r w:rsidR="006C36BD" w:rsidRPr="00A858D5">
        <w:rPr>
          <w:lang w:val="en-GB"/>
        </w:rPr>
        <w:t xml:space="preserve">values closer to one indicating higher green density </w:t>
      </w:r>
      <w:r w:rsidR="00A6760A" w:rsidRPr="00A858D5">
        <w:rPr>
          <w:bCs/>
          <w:lang w:val="en-GB"/>
        </w:rPr>
        <w:fldChar w:fldCharType="begin" w:fldLock="1"/>
      </w:r>
      <w:r w:rsidR="00C73947" w:rsidRPr="00A858D5">
        <w:rPr>
          <w:bCs/>
          <w:lang w:val="en-GB"/>
        </w:rPr>
        <w:instrText>ADDIN CSL_CITATION {"citationItems":[{"id":"ITEM-1","itemData":{"URL":"https://earthobservatory.nasa.gov/features/MeasuringVegetation","accessed":{"date-parts":[["2019","7","4"]]},"author":[{"dropping-particle":"","family":"Weier","given":"John","non-dropping-particle":"","parse-names":false,"suffix":""},{"dropping-particle":"","family":"Herring","given":"David","non-dropping-particle":"","parse-names":false,"suffix":""}],"id":"ITEM-1","issued":{"date-parts":[["2000"]]},"title":"Measuring Vegetation (NDVI &amp; EVI)","type":"webpage"},"uris":["http://www.mendeley.com/documents/?uuid=db0c6391-eb83-4c47-9e54-85b8b84fb12b"]}],"mendeley":{"formattedCitation":"(Weier and Herring, 2000)","plainTextFormattedCitation":"(Weier and Herring, 2000)","previouslyFormattedCitation":"(Weier and Herring, 2000)"},"properties":{"noteIndex":0},"schema":"https://github.com/citation-style-language/schema/raw/master/csl-citation.json"}</w:instrText>
      </w:r>
      <w:r w:rsidR="00A6760A" w:rsidRPr="00A858D5">
        <w:rPr>
          <w:bCs/>
          <w:lang w:val="en-GB"/>
        </w:rPr>
        <w:fldChar w:fldCharType="separate"/>
      </w:r>
      <w:r w:rsidR="009F0D48" w:rsidRPr="00A858D5">
        <w:rPr>
          <w:bCs/>
          <w:noProof/>
          <w:lang w:val="en-GB"/>
        </w:rPr>
        <w:t>(Weier and Herring, 2000)</w:t>
      </w:r>
      <w:r w:rsidR="00A6760A" w:rsidRPr="00A858D5">
        <w:rPr>
          <w:bCs/>
          <w:lang w:val="en-GB"/>
        </w:rPr>
        <w:fldChar w:fldCharType="end"/>
      </w:r>
      <w:r w:rsidR="00B112D8" w:rsidRPr="00A858D5">
        <w:rPr>
          <w:lang w:val="en-GB"/>
        </w:rPr>
        <w:t xml:space="preserve">. </w:t>
      </w:r>
      <w:r w:rsidR="00E952E0" w:rsidRPr="00A858D5">
        <w:rPr>
          <w:lang w:val="en-GB"/>
        </w:rPr>
        <w:t>The calculation of the NDVI was performed</w:t>
      </w:r>
      <w:r w:rsidR="00B112D8" w:rsidRPr="00A858D5">
        <w:rPr>
          <w:lang w:val="en-GB"/>
        </w:rPr>
        <w:t xml:space="preserve"> </w:t>
      </w:r>
      <w:r w:rsidR="00E952E0" w:rsidRPr="00A858D5">
        <w:rPr>
          <w:lang w:val="en-GB"/>
        </w:rPr>
        <w:t>over</w:t>
      </w:r>
      <w:r w:rsidR="00B112D8" w:rsidRPr="00A858D5">
        <w:rPr>
          <w:lang w:val="en-GB"/>
        </w:rPr>
        <w:t xml:space="preserve"> </w:t>
      </w:r>
      <w:r w:rsidR="00B112D8" w:rsidRPr="00A858D5">
        <w:rPr>
          <w:bCs/>
          <w:lang w:val="en-GB"/>
        </w:rPr>
        <w:t xml:space="preserve">a set of atmospherically corrected satellite images from </w:t>
      </w:r>
      <w:r w:rsidR="00B112D8" w:rsidRPr="00A858D5">
        <w:rPr>
          <w:lang w:val="en-GB"/>
        </w:rPr>
        <w:t>the Landsat-</w:t>
      </w:r>
      <w:r w:rsidR="0020665E" w:rsidRPr="00A858D5">
        <w:rPr>
          <w:lang w:val="en-GB"/>
        </w:rPr>
        <w:t>5</w:t>
      </w:r>
      <w:r w:rsidR="00B112D8" w:rsidRPr="00A858D5">
        <w:rPr>
          <w:lang w:val="en-GB"/>
        </w:rPr>
        <w:t xml:space="preserve"> for the summer period of</w:t>
      </w:r>
      <w:r w:rsidR="00AE3A9A" w:rsidRPr="00A858D5">
        <w:rPr>
          <w:lang w:val="en-GB"/>
        </w:rPr>
        <w:t xml:space="preserve"> </w:t>
      </w:r>
      <w:r w:rsidR="00B112D8" w:rsidRPr="00A858D5">
        <w:rPr>
          <w:lang w:val="en-GB"/>
        </w:rPr>
        <w:t xml:space="preserve">2006, with a 30x30m </w:t>
      </w:r>
      <w:r w:rsidR="0011741D" w:rsidRPr="00A858D5">
        <w:rPr>
          <w:lang w:val="en-GB"/>
        </w:rPr>
        <w:t xml:space="preserve">spatial </w:t>
      </w:r>
      <w:r w:rsidR="00B112D8" w:rsidRPr="00A858D5">
        <w:rPr>
          <w:lang w:val="en-GB"/>
        </w:rPr>
        <w:t xml:space="preserve">resolution. </w:t>
      </w:r>
      <w:r w:rsidR="000E7DAA" w:rsidRPr="00A858D5">
        <w:rPr>
          <w:lang w:val="en-GB"/>
        </w:rPr>
        <w:t>T</w:t>
      </w:r>
      <w:r w:rsidR="006A481F" w:rsidRPr="00A858D5">
        <w:rPr>
          <w:lang w:val="en-GB"/>
        </w:rPr>
        <w:t>he</w:t>
      </w:r>
      <w:r w:rsidR="00F758C8" w:rsidRPr="00A858D5">
        <w:rPr>
          <w:lang w:val="en-GB"/>
        </w:rPr>
        <w:t xml:space="preserve"> average NDVI value for surrounding greenness </w:t>
      </w:r>
      <w:r w:rsidR="000E7DAA" w:rsidRPr="00A858D5">
        <w:rPr>
          <w:lang w:val="en-GB"/>
        </w:rPr>
        <w:t>was</w:t>
      </w:r>
      <w:r w:rsidR="009D4004" w:rsidRPr="00A858D5">
        <w:rPr>
          <w:lang w:val="en-GB"/>
        </w:rPr>
        <w:t xml:space="preserve"> calculated using </w:t>
      </w:r>
      <w:r w:rsidR="00B112D8" w:rsidRPr="00A858D5">
        <w:rPr>
          <w:lang w:val="en-GB"/>
        </w:rPr>
        <w:t>the centroids of the grid</w:t>
      </w:r>
      <w:r w:rsidR="00AA14B1" w:rsidRPr="00A858D5">
        <w:rPr>
          <w:lang w:val="en-GB"/>
        </w:rPr>
        <w:t xml:space="preserve"> cells</w:t>
      </w:r>
      <w:r w:rsidR="00B112D8" w:rsidRPr="00A858D5">
        <w:rPr>
          <w:lang w:val="en-GB"/>
        </w:rPr>
        <w:t xml:space="preserve"> </w:t>
      </w:r>
      <w:r w:rsidR="00AA14B1" w:rsidRPr="00A858D5">
        <w:rPr>
          <w:lang w:val="en-GB"/>
        </w:rPr>
        <w:t>in which each XY coordinate of the individuals’ residential address was located</w:t>
      </w:r>
      <w:r w:rsidR="00634DB9" w:rsidRPr="00A858D5">
        <w:rPr>
          <w:lang w:val="en-GB"/>
        </w:rPr>
        <w:t xml:space="preserve"> </w:t>
      </w:r>
      <w:r w:rsidR="00634DB9" w:rsidRPr="00A858D5">
        <w:rPr>
          <w:lang w:val="en-GB"/>
        </w:rPr>
        <w:fldChar w:fldCharType="begin" w:fldLock="1"/>
      </w:r>
      <w:r w:rsidR="00217AA0">
        <w:rPr>
          <w:lang w:val="en-GB"/>
        </w:rPr>
        <w:instrText>ADDIN CSL_CITATION {"citationItems":[{"id":"ITEM-1","itemData":{"DOI":"https://doi.org/10.1016/j.envint.2020.106365","ISSN":"0160-4120","abstract":"Background Epidemiological studies suggest that residing close to green space reduce mortality rates. We investigated the relationship between long-term exposure to residential green space and non-accidental and cardio-respiratory mortality. Methods We linked the Belgian 2001 census to population and mortality register follow-up data (2001–2011) among adults aged 30 years and older residing in the five largest urban areas in Belgium (n = 2,185,170 and mean follow-up time 9.4 years). Residential addresses were available at baseline. Exposure to green space was defined as 1) surrounding greenness (2006) [normalized difference vegetation index (NDVI) and modified soil-adjusted vegetation index (MSAVI2)] within buffers of 300 m, 500 m, and 1000 m; 2) surrounding green space (2006) [Urban Atlas (UA) and CORINE Land Cover (CLC)] within buffers of 300 m, 500 m, and 1000 m; and 3) perceived neighborhood green space (2001). Cox proportional hazards models with age as the underlying time scale were used to probe into cause-specific mortality (non-accidental, respiratory, COPD, cardiovascular, ischemic heart disease (IHD), and cerebrovascular). Models were adjusted for several sociodemographic variables (age, sex, marital status, country of birth, education level, employment status, and area mean income). We further adjusted our main models for annual mean (2010) values of ambient air pollution (PM2.5, PM10, NO2 and BC, one at a time), and we additionally explored potential mediation with the aforementioned pollutants. Results Higher degrees of residential green space were associated with lower rates of non-accidental and respiratory mortality. In fully adjusted models, hazard ratios (HR) per interquartile range (IQR) increase in NDVI 500 m buffer (IQR: 0.24) and UA 500 m buffer (IQR: 0.31) were 0.97 (95%CI 0.96–0.98) and 0.99 (95%CI 0.98–0.99) for non-accidental mortality, and 0.95 (95%CI 0.93–0.98) and 0.97 (95%CI 0.96–0.99) for respiratory mortality. For perceived neighborhood green space, HRs were 0.93 (95%CI 0.92–0.94) and 0.94 (95%CI 0.91–0.98) for non-accidental and respiratory mortality, respectively. The observed lower mortality risks associated with residential exposure to green space were largely independent from exposure to ambient air pollutants. Conclusion We observed evidence for lower mortality risk in associations with long-term residential exposure to green space in most but not all studied causes of death in a large representative cohort for the…","author":[{"dropping-particle":"","family":"Bauwelinck","given":"Mariska","non-dropping-particle":"","parse-names":false,"suffix":""},{"dropping-particle":"","family":"Casas","given":"Lidia","non-dropping-particle":"","parse-names":false,"suffix":""},{"dropping-particle":"","family":"Nawrot","given":"Tim S","non-dropping-particle":"","parse-names":false,"suffix":""},{"dropping-particle":"","family":"Nemery","given":"Benoit","non-dropping-particle":"","parse-names":false,"suffix":""},{"dropping-particle":"","family":"Trabelsi","given":"Sonia","non-dropping-particle":"","parse-names":false,"suffix":""},{"dropping-particle":"","family":"Thomas","given":"Isabelle","non-dropping-particle":"","parse-names":false,"suffix":""},{"dropping-particle":"","family":"Aerts","given":"Raf","non-dropping-particle":"","parse-names":false,"suffix":""},{"dropping-particle":"","family":"Lefebvre","given":"Wouter","non-dropping-particle":"","parse-names":false,"suffix":""},{"dropping-particle":"","family":"Vanpoucke","given":"Charlotte","non-dropping-particle":"","parse-names":false,"suffix":""},{"dropping-particle":"","family":"Nieuwenhuyse","given":"An","non-dropping-particle":"Van","parse-names":false,"suffix":""},{"dropping-particle":"","family":"Deboosere","given":"Patrick","non-dropping-particle":"","parse-names":false,"suffix":""},{"dropping-particle":"","family":"Vandenheede","given":"Hadewijch","non-dropping-particle":"","parse-names":false,"suffix":""}],"container-title":"Environment International","id":"ITEM-1","issued":{"date-parts":[["2021"]]},"page":"106365","title":"Residing in urban areas with higher green space is associated with lower mortality risk: A census-based cohort study with ten years of follow-up","type":"article-journal","volume":"148"},"uris":["http://www.mendeley.com/documents/?uuid=0c494c14-c951-40e8-811e-08967e2b217f"]}],"mendeley":{"formattedCitation":"(Bauwelinck et al., 2021)","plainTextFormattedCitation":"(Bauwelinck et al., 2021)","previouslyFormattedCitation":"(Bauwelinck et al., 2021)"},"properties":{"noteIndex":0},"schema":"https://github.com/citation-style-language/schema/raw/master/csl-citation.json"}</w:instrText>
      </w:r>
      <w:r w:rsidR="00634DB9" w:rsidRPr="00A858D5">
        <w:rPr>
          <w:lang w:val="en-GB"/>
        </w:rPr>
        <w:fldChar w:fldCharType="separate"/>
      </w:r>
      <w:r w:rsidR="0024560E" w:rsidRPr="0024560E">
        <w:rPr>
          <w:noProof/>
          <w:lang w:val="en-GB"/>
        </w:rPr>
        <w:t>(Bauwelinck et al., 2021)</w:t>
      </w:r>
      <w:r w:rsidR="00634DB9" w:rsidRPr="00A858D5">
        <w:rPr>
          <w:lang w:val="en-GB"/>
        </w:rPr>
        <w:fldChar w:fldCharType="end"/>
      </w:r>
      <w:r w:rsidR="00B112D8" w:rsidRPr="00A858D5">
        <w:rPr>
          <w:lang w:val="en-GB"/>
        </w:rPr>
        <w:t xml:space="preserve">. </w:t>
      </w:r>
      <w:r w:rsidR="000E7DAA" w:rsidRPr="00A858D5">
        <w:rPr>
          <w:lang w:val="en-GB"/>
        </w:rPr>
        <w:t>T</w:t>
      </w:r>
      <w:r w:rsidR="00B112D8" w:rsidRPr="00A858D5">
        <w:rPr>
          <w:lang w:val="en-GB"/>
        </w:rPr>
        <w:t>hree buffer</w:t>
      </w:r>
      <w:r w:rsidR="000434B4" w:rsidRPr="00A858D5">
        <w:rPr>
          <w:lang w:val="en-GB"/>
        </w:rPr>
        <w:t xml:space="preserve"> </w:t>
      </w:r>
      <w:r w:rsidR="003A22D0" w:rsidRPr="00A858D5">
        <w:rPr>
          <w:lang w:val="en-GB"/>
        </w:rPr>
        <w:t>sizes</w:t>
      </w:r>
      <w:r w:rsidR="009A3E4F" w:rsidRPr="00A858D5">
        <w:rPr>
          <w:lang w:val="en-GB"/>
        </w:rPr>
        <w:t xml:space="preserve"> </w:t>
      </w:r>
      <w:r w:rsidR="008B10AC" w:rsidRPr="00A858D5">
        <w:rPr>
          <w:lang w:val="en-GB"/>
        </w:rPr>
        <w:t>were available</w:t>
      </w:r>
      <w:r w:rsidR="00B112D8" w:rsidRPr="00A858D5">
        <w:rPr>
          <w:lang w:val="en-GB"/>
        </w:rPr>
        <w:t>: 300</w:t>
      </w:r>
      <w:r w:rsidR="008055E2" w:rsidRPr="00A858D5">
        <w:rPr>
          <w:lang w:val="en-GB"/>
        </w:rPr>
        <w:t>-</w:t>
      </w:r>
      <w:r w:rsidR="00B112D8" w:rsidRPr="00A858D5">
        <w:rPr>
          <w:lang w:val="en-GB"/>
        </w:rPr>
        <w:t>m, 500</w:t>
      </w:r>
      <w:r w:rsidR="008055E2" w:rsidRPr="00A858D5">
        <w:rPr>
          <w:lang w:val="en-GB"/>
        </w:rPr>
        <w:t>-</w:t>
      </w:r>
      <w:r w:rsidR="00B112D8" w:rsidRPr="00A858D5">
        <w:rPr>
          <w:lang w:val="en-GB"/>
        </w:rPr>
        <w:t>m and 1</w:t>
      </w:r>
      <w:r w:rsidR="008055E2" w:rsidRPr="00A858D5">
        <w:rPr>
          <w:lang w:val="en-GB"/>
        </w:rPr>
        <w:t>,</w:t>
      </w:r>
      <w:r w:rsidR="00B112D8" w:rsidRPr="00A858D5">
        <w:rPr>
          <w:lang w:val="en-GB"/>
        </w:rPr>
        <w:t>000</w:t>
      </w:r>
      <w:r w:rsidR="008055E2" w:rsidRPr="00A858D5">
        <w:rPr>
          <w:lang w:val="en-GB"/>
        </w:rPr>
        <w:t>-</w:t>
      </w:r>
      <w:r w:rsidR="00B112D8" w:rsidRPr="00A858D5">
        <w:rPr>
          <w:lang w:val="en-GB"/>
        </w:rPr>
        <w:t xml:space="preserve">m. </w:t>
      </w:r>
      <w:r w:rsidR="000E7DAA" w:rsidRPr="00A858D5">
        <w:rPr>
          <w:b/>
          <w:bCs/>
          <w:lang w:val="en-GB"/>
        </w:rPr>
        <w:t>P</w:t>
      </w:r>
      <w:r w:rsidR="000110E9" w:rsidRPr="00A858D5">
        <w:rPr>
          <w:b/>
          <w:bCs/>
          <w:lang w:val="en-GB"/>
        </w:rPr>
        <w:t xml:space="preserve">erceived </w:t>
      </w:r>
      <w:r w:rsidR="000F06DD" w:rsidRPr="00A858D5">
        <w:rPr>
          <w:b/>
          <w:bCs/>
          <w:lang w:val="en-GB"/>
        </w:rPr>
        <w:t>neighbourhood</w:t>
      </w:r>
      <w:r w:rsidR="00712E8F" w:rsidRPr="00A858D5">
        <w:rPr>
          <w:b/>
          <w:bCs/>
          <w:lang w:val="en-GB"/>
        </w:rPr>
        <w:t xml:space="preserve"> </w:t>
      </w:r>
      <w:r w:rsidR="006511BC" w:rsidRPr="00A858D5">
        <w:rPr>
          <w:b/>
          <w:bCs/>
          <w:lang w:val="en-GB"/>
        </w:rPr>
        <w:t>greenness</w:t>
      </w:r>
      <w:r w:rsidR="000110E9" w:rsidRPr="00A858D5">
        <w:rPr>
          <w:lang w:val="en-GB"/>
        </w:rPr>
        <w:t xml:space="preserve"> was obtained </w:t>
      </w:r>
      <w:r w:rsidR="00C41171" w:rsidRPr="00A858D5">
        <w:rPr>
          <w:lang w:val="en-GB"/>
        </w:rPr>
        <w:t xml:space="preserve">from </w:t>
      </w:r>
      <w:r w:rsidR="000110E9" w:rsidRPr="00A858D5">
        <w:rPr>
          <w:lang w:val="en-GB"/>
        </w:rPr>
        <w:t>the 2001</w:t>
      </w:r>
      <w:r w:rsidR="00C41171" w:rsidRPr="00A858D5">
        <w:rPr>
          <w:lang w:val="en-GB"/>
        </w:rPr>
        <w:t xml:space="preserve"> </w:t>
      </w:r>
      <w:r w:rsidR="00E903D7" w:rsidRPr="00A858D5">
        <w:rPr>
          <w:lang w:val="en-GB"/>
        </w:rPr>
        <w:t>c</w:t>
      </w:r>
      <w:r w:rsidR="00C41171" w:rsidRPr="00A858D5">
        <w:rPr>
          <w:lang w:val="en-GB"/>
        </w:rPr>
        <w:t>ensus, where</w:t>
      </w:r>
      <w:r w:rsidR="00E903D7" w:rsidRPr="00A858D5">
        <w:rPr>
          <w:lang w:val="en-GB"/>
        </w:rPr>
        <w:t xml:space="preserve"> each head of household</w:t>
      </w:r>
      <w:r w:rsidR="00C41171" w:rsidRPr="00A858D5">
        <w:rPr>
          <w:lang w:val="en-GB"/>
        </w:rPr>
        <w:t xml:space="preserve"> </w:t>
      </w:r>
      <w:r w:rsidR="00E903D7" w:rsidRPr="00A858D5">
        <w:rPr>
          <w:lang w:val="en-GB"/>
        </w:rPr>
        <w:t>was</w:t>
      </w:r>
      <w:r w:rsidR="00C41171" w:rsidRPr="00A858D5">
        <w:rPr>
          <w:lang w:val="en-GB"/>
        </w:rPr>
        <w:t xml:space="preserve"> </w:t>
      </w:r>
      <w:r w:rsidR="00DA4CBE" w:rsidRPr="00A858D5">
        <w:rPr>
          <w:lang w:val="en-GB"/>
        </w:rPr>
        <w:t xml:space="preserve">asked </w:t>
      </w:r>
      <w:r w:rsidR="00C41171" w:rsidRPr="00A858D5">
        <w:rPr>
          <w:lang w:val="en-GB"/>
        </w:rPr>
        <w:t xml:space="preserve">to </w:t>
      </w:r>
      <w:r w:rsidR="00C23BFB" w:rsidRPr="00A858D5">
        <w:rPr>
          <w:lang w:val="en-GB"/>
        </w:rPr>
        <w:t>rate</w:t>
      </w:r>
      <w:r w:rsidR="005A7E97" w:rsidRPr="00A858D5">
        <w:rPr>
          <w:lang w:val="en-GB"/>
        </w:rPr>
        <w:t xml:space="preserve"> the </w:t>
      </w:r>
      <w:r w:rsidR="00F64C74" w:rsidRPr="00A858D5">
        <w:rPr>
          <w:lang w:val="en-GB"/>
        </w:rPr>
        <w:t xml:space="preserve">provision </w:t>
      </w:r>
      <w:r w:rsidR="005A7E97" w:rsidRPr="00A858D5">
        <w:rPr>
          <w:lang w:val="en-GB"/>
        </w:rPr>
        <w:t>of</w:t>
      </w:r>
      <w:r w:rsidR="00FA08AB" w:rsidRPr="00A858D5">
        <w:rPr>
          <w:lang w:val="en-GB"/>
        </w:rPr>
        <w:t xml:space="preserve"> green spaces in their </w:t>
      </w:r>
      <w:r w:rsidR="000F06DD" w:rsidRPr="00A858D5">
        <w:rPr>
          <w:lang w:val="en-GB"/>
        </w:rPr>
        <w:t>neighbourhood</w:t>
      </w:r>
      <w:r w:rsidR="004335A5" w:rsidRPr="00A858D5">
        <w:rPr>
          <w:lang w:val="en-GB"/>
        </w:rPr>
        <w:t xml:space="preserve"> (</w:t>
      </w:r>
      <w:r w:rsidR="00917CD5" w:rsidRPr="00A858D5">
        <w:rPr>
          <w:lang w:val="en-GB"/>
        </w:rPr>
        <w:t>“</w:t>
      </w:r>
      <w:r w:rsidR="00F64C74" w:rsidRPr="00A858D5">
        <w:rPr>
          <w:lang w:val="en-GB"/>
        </w:rPr>
        <w:t>Poorly</w:t>
      </w:r>
      <w:r w:rsidR="00D62D5C" w:rsidRPr="00A858D5">
        <w:rPr>
          <w:lang w:val="en-GB"/>
        </w:rPr>
        <w:t xml:space="preserve"> equipped”, “Normally equipped” or “Very well equipped”</w:t>
      </w:r>
      <w:r w:rsidR="004335A5" w:rsidRPr="00A858D5">
        <w:rPr>
          <w:lang w:val="en-GB"/>
        </w:rPr>
        <w:t>)</w:t>
      </w:r>
      <w:r w:rsidR="00D62D5C" w:rsidRPr="00A858D5">
        <w:rPr>
          <w:lang w:val="en-GB"/>
        </w:rPr>
        <w:t>.</w:t>
      </w:r>
      <w:r w:rsidR="00FA08AB" w:rsidRPr="00A858D5">
        <w:rPr>
          <w:lang w:val="en-GB"/>
        </w:rPr>
        <w:t xml:space="preserve"> </w:t>
      </w:r>
      <w:r w:rsidR="00D62D5C" w:rsidRPr="00A858D5">
        <w:rPr>
          <w:lang w:val="en-GB"/>
        </w:rPr>
        <w:t>W</w:t>
      </w:r>
      <w:r w:rsidR="00B112D8" w:rsidRPr="00A858D5">
        <w:rPr>
          <w:lang w:val="en-GB"/>
        </w:rPr>
        <w:t xml:space="preserve">e calculated the percentage of </w:t>
      </w:r>
      <w:r w:rsidR="00832021" w:rsidRPr="00A858D5">
        <w:rPr>
          <w:lang w:val="en-GB"/>
        </w:rPr>
        <w:t>households</w:t>
      </w:r>
      <w:r w:rsidR="00B112D8" w:rsidRPr="00A858D5">
        <w:rPr>
          <w:lang w:val="en-GB"/>
        </w:rPr>
        <w:t xml:space="preserve"> in each statistical ward</w:t>
      </w:r>
      <w:r w:rsidR="009F021C" w:rsidRPr="00A858D5">
        <w:rPr>
          <w:lang w:val="en-GB"/>
        </w:rPr>
        <w:t xml:space="preserve"> </w:t>
      </w:r>
      <w:r w:rsidR="0066355D" w:rsidRPr="00A858D5">
        <w:rPr>
          <w:lang w:val="en-GB"/>
        </w:rPr>
        <w:t>(i.e.</w:t>
      </w:r>
      <w:r w:rsidR="00552EDF">
        <w:rPr>
          <w:lang w:val="en-GB"/>
        </w:rPr>
        <w:t>,</w:t>
      </w:r>
      <w:r w:rsidR="0066355D" w:rsidRPr="00A858D5">
        <w:rPr>
          <w:lang w:val="en-GB"/>
        </w:rPr>
        <w:t xml:space="preserve"> the basic territorial unit in Belgium, comparable to </w:t>
      </w:r>
      <w:r w:rsidR="000F06DD" w:rsidRPr="00A858D5">
        <w:rPr>
          <w:lang w:val="en-GB"/>
        </w:rPr>
        <w:t>neighbourhoods</w:t>
      </w:r>
      <w:r w:rsidR="0066355D" w:rsidRPr="00A858D5">
        <w:rPr>
          <w:lang w:val="en-GB"/>
        </w:rPr>
        <w:t xml:space="preserve">) </w:t>
      </w:r>
      <w:r w:rsidR="00B112D8" w:rsidRPr="00A858D5">
        <w:rPr>
          <w:lang w:val="en-GB"/>
        </w:rPr>
        <w:t xml:space="preserve">who reported </w:t>
      </w:r>
      <w:r w:rsidR="0003798C" w:rsidRPr="00A858D5">
        <w:rPr>
          <w:lang w:val="en-GB"/>
        </w:rPr>
        <w:t xml:space="preserve">having </w:t>
      </w:r>
      <w:r w:rsidR="00B112D8" w:rsidRPr="00A858D5">
        <w:rPr>
          <w:lang w:val="en-GB"/>
        </w:rPr>
        <w:t xml:space="preserve">very </w:t>
      </w:r>
      <w:r w:rsidR="00710C27" w:rsidRPr="00A858D5">
        <w:rPr>
          <w:lang w:val="en-GB"/>
        </w:rPr>
        <w:t>well-equipped</w:t>
      </w:r>
      <w:r w:rsidR="001765DB" w:rsidRPr="00A858D5">
        <w:rPr>
          <w:lang w:val="en-GB"/>
        </w:rPr>
        <w:t xml:space="preserve"> </w:t>
      </w:r>
      <w:r w:rsidR="00B112D8" w:rsidRPr="00A858D5">
        <w:rPr>
          <w:lang w:val="en-GB"/>
        </w:rPr>
        <w:t xml:space="preserve">green spaces in their </w:t>
      </w:r>
      <w:r w:rsidR="000F06DD" w:rsidRPr="00A858D5">
        <w:rPr>
          <w:lang w:val="en-GB"/>
        </w:rPr>
        <w:t>neighbourhoods</w:t>
      </w:r>
      <w:r w:rsidR="00B112D8" w:rsidRPr="00A858D5">
        <w:rPr>
          <w:lang w:val="en-GB"/>
        </w:rPr>
        <w:t>.</w:t>
      </w:r>
      <w:r w:rsidR="004309BF" w:rsidRPr="00A858D5">
        <w:rPr>
          <w:lang w:val="en-GB"/>
        </w:rPr>
        <w:t xml:space="preserve"> In the BCR the average size of a statistical ward is 21ha, ranging from 1 to 7</w:t>
      </w:r>
      <w:r w:rsidR="009D10D3" w:rsidRPr="00A858D5">
        <w:rPr>
          <w:lang w:val="en-GB"/>
        </w:rPr>
        <w:t>5</w:t>
      </w:r>
      <w:r w:rsidR="004309BF" w:rsidRPr="00A858D5">
        <w:rPr>
          <w:lang w:val="en-GB"/>
        </w:rPr>
        <w:t>1ha.</w:t>
      </w:r>
    </w:p>
    <w:p w14:paraId="6F38FFC8" w14:textId="73AFC656" w:rsidR="000D7541" w:rsidRPr="00A858D5" w:rsidRDefault="0078321A" w:rsidP="008B20D9">
      <w:pPr>
        <w:pStyle w:val="Heading2"/>
        <w:rPr>
          <w:lang w:val="en-GB"/>
        </w:rPr>
      </w:pPr>
      <w:r w:rsidRPr="00A858D5">
        <w:rPr>
          <w:lang w:val="en-GB"/>
        </w:rPr>
        <w:t>Three intersectionality dimensions</w:t>
      </w:r>
    </w:p>
    <w:p w14:paraId="553AFD77" w14:textId="2FE1FA7A" w:rsidR="004E377F" w:rsidRPr="00A858D5" w:rsidRDefault="00442733" w:rsidP="009D5988">
      <w:pPr>
        <w:rPr>
          <w:lang w:val="en-GB"/>
        </w:rPr>
      </w:pPr>
      <w:r w:rsidRPr="00A858D5">
        <w:rPr>
          <w:lang w:val="en-GB"/>
        </w:rPr>
        <w:t>T</w:t>
      </w:r>
      <w:r w:rsidR="004C499C" w:rsidRPr="00A858D5">
        <w:rPr>
          <w:lang w:val="en-GB"/>
        </w:rPr>
        <w:t>he i</w:t>
      </w:r>
      <w:r w:rsidR="00577C5B" w:rsidRPr="00A858D5">
        <w:rPr>
          <w:lang w:val="en-GB"/>
        </w:rPr>
        <w:t xml:space="preserve">ntersectionality </w:t>
      </w:r>
      <w:r w:rsidRPr="00A858D5">
        <w:rPr>
          <w:lang w:val="en-GB"/>
        </w:rPr>
        <w:t xml:space="preserve">approach </w:t>
      </w:r>
      <w:r w:rsidR="006E17BE" w:rsidRPr="00A858D5">
        <w:rPr>
          <w:lang w:val="en-GB"/>
        </w:rPr>
        <w:t>was</w:t>
      </w:r>
      <w:r w:rsidRPr="00A858D5">
        <w:rPr>
          <w:lang w:val="en-GB"/>
        </w:rPr>
        <w:t xml:space="preserve"> </w:t>
      </w:r>
      <w:r w:rsidR="00A564C8" w:rsidRPr="00A858D5">
        <w:rPr>
          <w:lang w:val="en-GB"/>
        </w:rPr>
        <w:t>operationalized</w:t>
      </w:r>
      <w:r w:rsidRPr="00A858D5">
        <w:rPr>
          <w:lang w:val="en-GB"/>
        </w:rPr>
        <w:t xml:space="preserve"> by including </w:t>
      </w:r>
      <w:r w:rsidR="00E937AC" w:rsidRPr="00A858D5">
        <w:rPr>
          <w:lang w:val="en-GB"/>
        </w:rPr>
        <w:t xml:space="preserve">three </w:t>
      </w:r>
      <w:r w:rsidRPr="00A858D5">
        <w:rPr>
          <w:lang w:val="en-GB"/>
        </w:rPr>
        <w:t xml:space="preserve">important </w:t>
      </w:r>
      <w:r w:rsidR="00E937AC" w:rsidRPr="00A858D5">
        <w:rPr>
          <w:lang w:val="en-GB"/>
        </w:rPr>
        <w:t>dimensions</w:t>
      </w:r>
      <w:r w:rsidRPr="00A858D5">
        <w:rPr>
          <w:lang w:val="en-GB"/>
        </w:rPr>
        <w:t xml:space="preserve"> of social stratification</w:t>
      </w:r>
      <w:r w:rsidR="00E937AC" w:rsidRPr="00A858D5">
        <w:rPr>
          <w:lang w:val="en-GB"/>
        </w:rPr>
        <w:t xml:space="preserve">: gender, socioeconomic </w:t>
      </w:r>
      <w:r w:rsidR="007F04A2" w:rsidRPr="00A858D5">
        <w:rPr>
          <w:lang w:val="en-GB"/>
        </w:rPr>
        <w:t xml:space="preserve">position </w:t>
      </w:r>
      <w:r w:rsidR="00D73A38" w:rsidRPr="00A858D5">
        <w:rPr>
          <w:lang w:val="en-GB"/>
        </w:rPr>
        <w:t>(SE</w:t>
      </w:r>
      <w:r w:rsidR="007F04A2" w:rsidRPr="00A858D5">
        <w:rPr>
          <w:lang w:val="en-GB"/>
        </w:rPr>
        <w:t>P</w:t>
      </w:r>
      <w:r w:rsidR="00D73A38" w:rsidRPr="00A858D5">
        <w:rPr>
          <w:lang w:val="en-GB"/>
        </w:rPr>
        <w:t>)</w:t>
      </w:r>
      <w:r w:rsidR="00E937AC" w:rsidRPr="00A858D5">
        <w:rPr>
          <w:lang w:val="en-GB"/>
        </w:rPr>
        <w:t xml:space="preserve"> and migrant background</w:t>
      </w:r>
      <w:r w:rsidR="006A59B7" w:rsidRPr="00A858D5">
        <w:rPr>
          <w:lang w:val="en-GB"/>
        </w:rPr>
        <w:t xml:space="preserve"> </w:t>
      </w:r>
      <w:r w:rsidR="008F7284" w:rsidRPr="00A858D5">
        <w:rPr>
          <w:lang w:val="en-GB"/>
        </w:rPr>
        <w:fldChar w:fldCharType="begin" w:fldLock="1"/>
      </w:r>
      <w:r w:rsidR="00452D47">
        <w:rPr>
          <w:lang w:val="en-GB"/>
        </w:rPr>
        <w:instrText>ADDIN CSL_CITATION {"citationItems":[{"id":"ITEM-1","itemData":{"author":[{"dropping-particle":"","family":"Krieger","given":"Nancy","non-dropping-particle":"","parse-names":false,"suffix":""}],"container-title":"Journal of epidemiology and community health","id":"ITEM-1","issued":{"date-parts":[["2001"]]},"page":"693-700","title":"A glossary for social epidemiology","type":"article-journal","volume":"55"},"uris":["http://www.mendeley.com/documents/?uuid=1aba3715-a81e-4dde-a698-4336f1c32277"]},{"id":"ITEM-2","itemData":{"DOI":"10.2105/AJPH.2012.300750","author":[{"dropping-particle":"","family":"Bowleg","given":"Lisa","non-dropping-particle":"","parse-names":false,"suffix":""}],"container-title":"American Journal of Public Health","id":"ITEM-2","issue":"7","issued":{"date-parts":[["2012"]]},"page":"1267-1273","title":"The Problem With the Phrase Women and Minorities : Intersectionality — an Important Theoretical Framework for Public Health","type":"article-journal","volume":"102"},"uris":["http://www.mendeley.com/documents/?uuid=a7402a9e-d981-4b32-a6cf-dc591091375d"]}],"mendeley":{"formattedCitation":"(Bowleg, 2012; Krieger, 2001)","plainTextFormattedCitation":"(Bowleg, 2012; Krieger, 2001)","previouslyFormattedCitation":"(Bowleg, 2012; Krieger, 2001)"},"properties":{"noteIndex":0},"schema":"https://github.com/citation-style-language/schema/raw/master/csl-citation.json"}</w:instrText>
      </w:r>
      <w:r w:rsidR="008F7284" w:rsidRPr="00A858D5">
        <w:rPr>
          <w:lang w:val="en-GB"/>
        </w:rPr>
        <w:fldChar w:fldCharType="separate"/>
      </w:r>
      <w:r w:rsidR="00113E16" w:rsidRPr="00113E16">
        <w:rPr>
          <w:noProof/>
          <w:lang w:val="en-GB"/>
        </w:rPr>
        <w:t>(Bowleg, 2012; Krieger, 2001)</w:t>
      </w:r>
      <w:r w:rsidR="008F7284" w:rsidRPr="00A858D5">
        <w:rPr>
          <w:lang w:val="en-GB"/>
        </w:rPr>
        <w:fldChar w:fldCharType="end"/>
      </w:r>
      <w:r w:rsidR="00AF7D05" w:rsidRPr="00A858D5">
        <w:rPr>
          <w:lang w:val="en-GB"/>
        </w:rPr>
        <w:t>.</w:t>
      </w:r>
    </w:p>
    <w:p w14:paraId="2E8458FE" w14:textId="1E4918C6" w:rsidR="004E377F" w:rsidRPr="00A858D5" w:rsidRDefault="00877C81" w:rsidP="009D5988">
      <w:pPr>
        <w:rPr>
          <w:lang w:val="en-GB"/>
        </w:rPr>
      </w:pPr>
      <w:r w:rsidRPr="00A858D5">
        <w:rPr>
          <w:lang w:val="en-GB"/>
        </w:rPr>
        <w:t>Individual s</w:t>
      </w:r>
      <w:r w:rsidR="00CD3689" w:rsidRPr="00A858D5">
        <w:rPr>
          <w:lang w:val="en-GB"/>
        </w:rPr>
        <w:t xml:space="preserve">ocioeconomic </w:t>
      </w:r>
      <w:r w:rsidR="007F04A2" w:rsidRPr="00A858D5">
        <w:rPr>
          <w:lang w:val="en-GB"/>
        </w:rPr>
        <w:t xml:space="preserve">position </w:t>
      </w:r>
      <w:r w:rsidR="00CD3689" w:rsidRPr="00A858D5">
        <w:rPr>
          <w:lang w:val="en-GB"/>
        </w:rPr>
        <w:t>(SE</w:t>
      </w:r>
      <w:r w:rsidR="007F04A2" w:rsidRPr="00A858D5">
        <w:rPr>
          <w:lang w:val="en-GB"/>
        </w:rPr>
        <w:t>P</w:t>
      </w:r>
      <w:r w:rsidR="00CD3689" w:rsidRPr="00A858D5">
        <w:rPr>
          <w:lang w:val="en-GB"/>
        </w:rPr>
        <w:t xml:space="preserve">) was </w:t>
      </w:r>
      <w:r w:rsidRPr="00A858D5">
        <w:rPr>
          <w:lang w:val="en-GB"/>
        </w:rPr>
        <w:t>captured</w:t>
      </w:r>
      <w:r w:rsidR="00CD3689" w:rsidRPr="00A858D5">
        <w:rPr>
          <w:lang w:val="en-GB"/>
        </w:rPr>
        <w:t xml:space="preserve"> through </w:t>
      </w:r>
      <w:r w:rsidR="00464E33" w:rsidRPr="00A858D5">
        <w:rPr>
          <w:lang w:val="en-GB"/>
        </w:rPr>
        <w:t xml:space="preserve">two </w:t>
      </w:r>
      <w:r w:rsidR="00CD3689" w:rsidRPr="00A858D5">
        <w:rPr>
          <w:lang w:val="en-GB"/>
        </w:rPr>
        <w:t xml:space="preserve">indicators: </w:t>
      </w:r>
      <w:r w:rsidR="00BB288E" w:rsidRPr="00A858D5">
        <w:rPr>
          <w:lang w:val="en-GB"/>
        </w:rPr>
        <w:t>educational attainment</w:t>
      </w:r>
      <w:r w:rsidR="00464E33" w:rsidRPr="00A858D5">
        <w:rPr>
          <w:lang w:val="en-GB"/>
        </w:rPr>
        <w:t xml:space="preserve"> and</w:t>
      </w:r>
      <w:r w:rsidR="00CE600B" w:rsidRPr="00A858D5">
        <w:rPr>
          <w:lang w:val="en-GB"/>
        </w:rPr>
        <w:t xml:space="preserve"> housing tenure.</w:t>
      </w:r>
      <w:r w:rsidR="00CD575B" w:rsidRPr="00A858D5">
        <w:rPr>
          <w:lang w:val="en-GB"/>
        </w:rPr>
        <w:t xml:space="preserve"> </w:t>
      </w:r>
      <w:r w:rsidR="004F6804" w:rsidRPr="00A858D5">
        <w:rPr>
          <w:lang w:val="en-GB"/>
        </w:rPr>
        <w:t>E</w:t>
      </w:r>
      <w:r w:rsidR="00BB288E" w:rsidRPr="00A858D5">
        <w:rPr>
          <w:lang w:val="en-GB"/>
        </w:rPr>
        <w:t>ducational attainment</w:t>
      </w:r>
      <w:r w:rsidR="00815B16" w:rsidRPr="00A858D5">
        <w:rPr>
          <w:lang w:val="en-GB"/>
        </w:rPr>
        <w:t xml:space="preserve"> </w:t>
      </w:r>
      <w:r w:rsidR="00442733" w:rsidRPr="00A858D5">
        <w:rPr>
          <w:lang w:val="en-GB"/>
        </w:rPr>
        <w:t>i</w:t>
      </w:r>
      <w:r w:rsidR="005B70CA" w:rsidRPr="00A858D5">
        <w:rPr>
          <w:lang w:val="en-GB"/>
        </w:rPr>
        <w:t xml:space="preserve">s a </w:t>
      </w:r>
      <w:r w:rsidR="002B1FF2" w:rsidRPr="00A858D5">
        <w:rPr>
          <w:lang w:val="en-GB"/>
        </w:rPr>
        <w:t>stable</w:t>
      </w:r>
      <w:r w:rsidR="00AE0B05" w:rsidRPr="00A858D5">
        <w:rPr>
          <w:lang w:val="en-GB"/>
        </w:rPr>
        <w:t>, widely available,</w:t>
      </w:r>
      <w:r w:rsidR="002B1FF2" w:rsidRPr="00A858D5">
        <w:rPr>
          <w:lang w:val="en-GB"/>
        </w:rPr>
        <w:t xml:space="preserve"> </w:t>
      </w:r>
      <w:r w:rsidR="005B70CA" w:rsidRPr="00A858D5">
        <w:rPr>
          <w:lang w:val="en-GB"/>
        </w:rPr>
        <w:t xml:space="preserve">indicator of </w:t>
      </w:r>
      <w:r w:rsidR="002B1FF2" w:rsidRPr="00A858D5">
        <w:rPr>
          <w:lang w:val="en-GB"/>
        </w:rPr>
        <w:t>SEP</w:t>
      </w:r>
      <w:r w:rsidR="00A35E58" w:rsidRPr="00A858D5">
        <w:rPr>
          <w:lang w:val="en-GB"/>
        </w:rPr>
        <w:t xml:space="preserve"> </w:t>
      </w:r>
      <w:r w:rsidR="00C64502" w:rsidRPr="00A858D5">
        <w:rPr>
          <w:lang w:val="en-GB"/>
        </w:rPr>
        <w:fldChar w:fldCharType="begin" w:fldLock="1"/>
      </w:r>
      <w:r w:rsidR="00452D47">
        <w:rPr>
          <w:lang w:val="en-GB"/>
        </w:rPr>
        <w:instrText>ADDIN CSL_CITATION {"citationItems":[{"id":"ITEM-1","itemData":{"DOI":"10.1136/jech.2004.023531","author":[{"dropping-particle":"","family":"Galobardes","given":"Bruna","non-dropping-particle":"","parse-names":false,"suffix":""},{"dropping-particle":"","family":"Shaw","given":"Mary","non-dropping-particle":"","parse-names":false,"suffix":""},{"dropping-particle":"","family":"Lawlor","given":"Debbie A","non-dropping-particle":"","parse-names":false,"suffix":""},{"dropping-particle":"","family":"Lynch","given":"John W","non-dropping-particle":"","parse-names":false,"suffix":""},{"dropping-particle":"","family":"Smith","given":"George Davey","non-dropping-particle":"","parse-names":false,"suffix":""}],"container-title":"J Epidemiol Community Health","id":"ITEM-1","issued":{"date-parts":[["2006"]]},"page":"7-12","title":"Indicators of socioeconomic position (part 1)","type":"article-journal","volume":"60"},"uris":["http://www.mendeley.com/documents/?uuid=fbb1f9f1-e520-4a8a-990f-35041c5b94e4"]}],"mendeley":{"formattedCitation":"(Galobardes et al., 2006)","plainTextFormattedCitation":"(Galobardes et al., 2006)","previouslyFormattedCitation":"(Galobardes et al., 2006)"},"properties":{"noteIndex":0},"schema":"https://github.com/citation-style-language/schema/raw/master/csl-citation.json"}</w:instrText>
      </w:r>
      <w:r w:rsidR="00C64502" w:rsidRPr="00A858D5">
        <w:rPr>
          <w:lang w:val="en-GB"/>
        </w:rPr>
        <w:fldChar w:fldCharType="separate"/>
      </w:r>
      <w:r w:rsidR="009F0D48" w:rsidRPr="00113E16">
        <w:rPr>
          <w:noProof/>
          <w:lang w:val="en-GB"/>
        </w:rPr>
        <w:t>(Galobardes et al., 2006)</w:t>
      </w:r>
      <w:r w:rsidR="00C64502" w:rsidRPr="00A858D5">
        <w:rPr>
          <w:lang w:val="en-GB"/>
        </w:rPr>
        <w:fldChar w:fldCharType="end"/>
      </w:r>
      <w:r w:rsidR="00867E76" w:rsidRPr="00A858D5">
        <w:rPr>
          <w:lang w:val="en-GB"/>
        </w:rPr>
        <w:t>.</w:t>
      </w:r>
      <w:r w:rsidR="00FF4243" w:rsidRPr="00A858D5">
        <w:rPr>
          <w:lang w:val="en-GB"/>
        </w:rPr>
        <w:t xml:space="preserve"> </w:t>
      </w:r>
      <w:r w:rsidR="00867E76" w:rsidRPr="00A858D5">
        <w:rPr>
          <w:lang w:val="en-GB"/>
        </w:rPr>
        <w:t xml:space="preserve">It was </w:t>
      </w:r>
      <w:r w:rsidR="00F85D07" w:rsidRPr="00A858D5">
        <w:rPr>
          <w:lang w:val="en-GB"/>
        </w:rPr>
        <w:t xml:space="preserve">classified </w:t>
      </w:r>
      <w:r w:rsidR="00BB288E" w:rsidRPr="00A858D5">
        <w:rPr>
          <w:lang w:val="en-GB"/>
        </w:rPr>
        <w:t xml:space="preserve">in five groups </w:t>
      </w:r>
      <w:r w:rsidR="00F85D07" w:rsidRPr="00A858D5">
        <w:rPr>
          <w:lang w:val="en-GB"/>
        </w:rPr>
        <w:t xml:space="preserve">according to the </w:t>
      </w:r>
      <w:r w:rsidR="006A6D1A" w:rsidRPr="00A858D5">
        <w:rPr>
          <w:lang w:val="en-GB"/>
        </w:rPr>
        <w:t xml:space="preserve">International Standard Classification of Education </w:t>
      </w:r>
      <w:r w:rsidR="006A6D1A" w:rsidRPr="00A858D5">
        <w:rPr>
          <w:lang w:val="en-GB"/>
        </w:rPr>
        <w:fldChar w:fldCharType="begin" w:fldLock="1"/>
      </w:r>
      <w:r w:rsidR="00750636" w:rsidRPr="00A858D5">
        <w:rPr>
          <w:lang w:val="en-GB"/>
        </w:rPr>
        <w:instrText>ADDIN CSL_CITATION {"citationItems":[{"id":"ITEM-1","itemData":{"ISBN":"9789291891238","author":[{"dropping-particle":"","family":"UNESCO Institute for Statistics (UIS)","given":"","non-dropping-particle":"","parse-names":false,"suffix":""}],"id":"ITEM-1","issued":{"date-parts":[["2012"]]},"publisher-place":"Montreal, Canada","title":"International Standard Classification of Education. ISCED 2011","type":"report"},"uris":["http://www.mendeley.com/documents/?uuid=ef927256-1cfd-4fb1-9c96-328bc098fbf2"]}],"mendeley":{"formattedCitation":"(UNESCO Institute for Statistics (UIS), 2012)","plainTextFormattedCitation":"(UNESCO Institute for Statistics (UIS), 2012)","previouslyFormattedCitation":"(UNESCO Institute for Statistics (UIS), 2012)"},"properties":{"noteIndex":0},"schema":"https://github.com/citation-style-language/schema/raw/master/csl-citation.json"}</w:instrText>
      </w:r>
      <w:r w:rsidR="006A6D1A" w:rsidRPr="00A858D5">
        <w:rPr>
          <w:lang w:val="en-GB"/>
        </w:rPr>
        <w:fldChar w:fldCharType="separate"/>
      </w:r>
      <w:r w:rsidR="005314A8" w:rsidRPr="00A858D5">
        <w:rPr>
          <w:noProof/>
          <w:lang w:val="en-GB"/>
        </w:rPr>
        <w:t>(UNESCO Institute for Statistics (UIS), 2012)</w:t>
      </w:r>
      <w:r w:rsidR="006A6D1A" w:rsidRPr="00A858D5">
        <w:rPr>
          <w:lang w:val="en-GB"/>
        </w:rPr>
        <w:fldChar w:fldCharType="end"/>
      </w:r>
      <w:r w:rsidR="006A6D1A" w:rsidRPr="00A858D5">
        <w:rPr>
          <w:lang w:val="en-GB"/>
        </w:rPr>
        <w:t>: tertiary</w:t>
      </w:r>
      <w:r w:rsidR="00FF1764" w:rsidRPr="00A858D5">
        <w:rPr>
          <w:lang w:val="en-GB"/>
        </w:rPr>
        <w:t xml:space="preserve"> (reference)</w:t>
      </w:r>
      <w:r w:rsidR="006A6D1A" w:rsidRPr="00A858D5">
        <w:rPr>
          <w:lang w:val="en-GB"/>
        </w:rPr>
        <w:t xml:space="preserve"> [levels 5-8], higher secondary [levels 3-4],</w:t>
      </w:r>
      <w:r w:rsidR="00AE7841" w:rsidRPr="00A858D5">
        <w:rPr>
          <w:lang w:val="en-GB"/>
        </w:rPr>
        <w:t xml:space="preserve"> and</w:t>
      </w:r>
      <w:r w:rsidR="006A6D1A" w:rsidRPr="00A858D5">
        <w:rPr>
          <w:lang w:val="en-GB"/>
        </w:rPr>
        <w:t xml:space="preserve"> lower </w:t>
      </w:r>
      <w:r w:rsidR="00AE7841" w:rsidRPr="00A858D5">
        <w:rPr>
          <w:lang w:val="en-GB"/>
        </w:rPr>
        <w:t>education</w:t>
      </w:r>
      <w:r w:rsidR="006A6D1A" w:rsidRPr="00A858D5">
        <w:rPr>
          <w:lang w:val="en-GB"/>
        </w:rPr>
        <w:t xml:space="preserve"> [level</w:t>
      </w:r>
      <w:r w:rsidR="00AE7841" w:rsidRPr="00A858D5">
        <w:rPr>
          <w:lang w:val="en-GB"/>
        </w:rPr>
        <w:t>s</w:t>
      </w:r>
      <w:r w:rsidR="006A6D1A" w:rsidRPr="00A858D5">
        <w:rPr>
          <w:lang w:val="en-GB"/>
        </w:rPr>
        <w:t xml:space="preserve"> </w:t>
      </w:r>
      <w:r w:rsidR="00AE7841" w:rsidRPr="00A858D5">
        <w:rPr>
          <w:lang w:val="en-GB"/>
        </w:rPr>
        <w:t>0-</w:t>
      </w:r>
      <w:r w:rsidR="006A6D1A" w:rsidRPr="00A858D5">
        <w:rPr>
          <w:lang w:val="en-GB"/>
        </w:rPr>
        <w:t>2]).</w:t>
      </w:r>
      <w:r w:rsidR="00116B2C" w:rsidRPr="00A858D5">
        <w:rPr>
          <w:lang w:val="en-GB"/>
        </w:rPr>
        <w:t xml:space="preserve"> </w:t>
      </w:r>
      <w:r w:rsidR="00867E76" w:rsidRPr="00A858D5">
        <w:rPr>
          <w:lang w:val="en-GB"/>
        </w:rPr>
        <w:t>Housing tenure was included as a</w:t>
      </w:r>
      <w:r w:rsidR="00341E73" w:rsidRPr="00A858D5">
        <w:rPr>
          <w:lang w:val="en-GB"/>
        </w:rPr>
        <w:t xml:space="preserve">n indicator of </w:t>
      </w:r>
      <w:r w:rsidR="003174EF" w:rsidRPr="00A858D5">
        <w:rPr>
          <w:lang w:val="en-GB"/>
        </w:rPr>
        <w:t xml:space="preserve">long-term </w:t>
      </w:r>
      <w:r w:rsidR="00341E73" w:rsidRPr="00A858D5">
        <w:rPr>
          <w:lang w:val="en-GB"/>
        </w:rPr>
        <w:t xml:space="preserve">material wealth and </w:t>
      </w:r>
      <w:r w:rsidR="00E64809" w:rsidRPr="00A858D5">
        <w:rPr>
          <w:lang w:val="en-GB"/>
        </w:rPr>
        <w:t>was</w:t>
      </w:r>
      <w:r w:rsidR="00FF1764" w:rsidRPr="00A858D5">
        <w:rPr>
          <w:lang w:val="en-GB"/>
        </w:rPr>
        <w:t xml:space="preserve"> categori</w:t>
      </w:r>
      <w:r w:rsidR="00E64809" w:rsidRPr="00A858D5">
        <w:rPr>
          <w:lang w:val="en-GB"/>
        </w:rPr>
        <w:t>zed as</w:t>
      </w:r>
      <w:r w:rsidR="00FF1764" w:rsidRPr="00A858D5">
        <w:rPr>
          <w:lang w:val="en-GB"/>
        </w:rPr>
        <w:t xml:space="preserve">: </w:t>
      </w:r>
      <w:r w:rsidR="00341E73" w:rsidRPr="00A858D5">
        <w:rPr>
          <w:lang w:val="en-GB"/>
        </w:rPr>
        <w:t>owner</w:t>
      </w:r>
      <w:r w:rsidR="00513A61" w:rsidRPr="00A858D5">
        <w:rPr>
          <w:lang w:val="en-GB"/>
        </w:rPr>
        <w:t xml:space="preserve"> (reference)</w:t>
      </w:r>
      <w:r w:rsidR="00341E73" w:rsidRPr="00A858D5">
        <w:rPr>
          <w:lang w:val="en-GB"/>
        </w:rPr>
        <w:t xml:space="preserve"> </w:t>
      </w:r>
      <w:r w:rsidR="00E82D5D" w:rsidRPr="00A858D5">
        <w:rPr>
          <w:lang w:val="en-GB"/>
        </w:rPr>
        <w:t xml:space="preserve">and </w:t>
      </w:r>
      <w:r w:rsidR="00341E73" w:rsidRPr="00A858D5">
        <w:rPr>
          <w:lang w:val="en-GB"/>
        </w:rPr>
        <w:t>tenant</w:t>
      </w:r>
      <w:r w:rsidR="001B2152" w:rsidRPr="00A858D5">
        <w:rPr>
          <w:lang w:val="en-GB"/>
        </w:rPr>
        <w:t>.</w:t>
      </w:r>
      <w:r w:rsidR="00B562C5" w:rsidRPr="00A858D5">
        <w:rPr>
          <w:lang w:val="en-GB"/>
        </w:rPr>
        <w:t xml:space="preserve"> </w:t>
      </w:r>
      <w:r w:rsidR="00345658" w:rsidRPr="00A858D5">
        <w:rPr>
          <w:lang w:val="en-GB"/>
        </w:rPr>
        <w:t>Individuals</w:t>
      </w:r>
      <w:r w:rsidR="00B562C5" w:rsidRPr="00A858D5">
        <w:rPr>
          <w:lang w:val="en-GB"/>
        </w:rPr>
        <w:t xml:space="preserve"> with missing information on </w:t>
      </w:r>
      <w:r w:rsidR="00FE160C" w:rsidRPr="00A858D5">
        <w:rPr>
          <w:lang w:val="en-GB"/>
        </w:rPr>
        <w:t xml:space="preserve">one of </w:t>
      </w:r>
      <w:r w:rsidR="00B562C5" w:rsidRPr="00A858D5">
        <w:rPr>
          <w:lang w:val="en-GB"/>
        </w:rPr>
        <w:t xml:space="preserve">these variables were </w:t>
      </w:r>
      <w:r w:rsidR="007B6CDE" w:rsidRPr="00A858D5">
        <w:rPr>
          <w:lang w:val="en-GB"/>
        </w:rPr>
        <w:t>excluded</w:t>
      </w:r>
      <w:r w:rsidR="009F0252" w:rsidRPr="00A858D5">
        <w:rPr>
          <w:lang w:val="en-GB"/>
        </w:rPr>
        <w:t xml:space="preserve"> (</w:t>
      </w:r>
      <w:r w:rsidR="00E66241" w:rsidRPr="00A858D5">
        <w:rPr>
          <w:lang w:val="en-GB"/>
        </w:rPr>
        <w:t>N=</w:t>
      </w:r>
      <w:r w:rsidR="00A90A12" w:rsidRPr="00A858D5">
        <w:rPr>
          <w:lang w:val="en-GB"/>
        </w:rPr>
        <w:t>6</w:t>
      </w:r>
      <w:r w:rsidR="00C34930" w:rsidRPr="00A858D5">
        <w:rPr>
          <w:lang w:val="en-GB"/>
        </w:rPr>
        <w:t>8</w:t>
      </w:r>
      <w:r w:rsidR="00A90A12" w:rsidRPr="00A858D5">
        <w:rPr>
          <w:lang w:val="en-GB"/>
        </w:rPr>
        <w:t>,</w:t>
      </w:r>
      <w:r w:rsidR="00C34930" w:rsidRPr="00A858D5">
        <w:rPr>
          <w:lang w:val="en-GB"/>
        </w:rPr>
        <w:t>551</w:t>
      </w:r>
      <w:r w:rsidR="00A90A12" w:rsidRPr="00A858D5">
        <w:rPr>
          <w:lang w:val="en-GB"/>
        </w:rPr>
        <w:t>;</w:t>
      </w:r>
      <w:r w:rsidR="00C0508F" w:rsidRPr="00A858D5">
        <w:rPr>
          <w:lang w:val="en-GB"/>
        </w:rPr>
        <w:t xml:space="preserve"> </w:t>
      </w:r>
      <w:r w:rsidR="00747A92" w:rsidRPr="00A858D5">
        <w:rPr>
          <w:lang w:val="en-GB"/>
        </w:rPr>
        <w:t>9</w:t>
      </w:r>
      <w:r w:rsidR="00C0508F" w:rsidRPr="00A858D5">
        <w:rPr>
          <w:lang w:val="en-GB"/>
        </w:rPr>
        <w:t>%)</w:t>
      </w:r>
      <w:r w:rsidR="00B562C5" w:rsidRPr="00A858D5">
        <w:rPr>
          <w:lang w:val="en-GB"/>
        </w:rPr>
        <w:t>.</w:t>
      </w:r>
    </w:p>
    <w:p w14:paraId="4D0858D7" w14:textId="7AED6C0B" w:rsidR="00CA2634" w:rsidRPr="00A858D5" w:rsidRDefault="00CA2634" w:rsidP="009D5988">
      <w:pPr>
        <w:rPr>
          <w:lang w:val="en-GB"/>
        </w:rPr>
      </w:pPr>
      <w:r w:rsidRPr="00A858D5">
        <w:rPr>
          <w:lang w:val="en-GB"/>
        </w:rPr>
        <w:t>Migrant background</w:t>
      </w:r>
      <w:r w:rsidR="00A9743F" w:rsidRPr="00A858D5">
        <w:rPr>
          <w:lang w:val="en-GB"/>
        </w:rPr>
        <w:t xml:space="preserve"> captured the family history of migration</w:t>
      </w:r>
      <w:r w:rsidR="00A32E64" w:rsidRPr="00A858D5">
        <w:rPr>
          <w:lang w:val="en-GB"/>
        </w:rPr>
        <w:t xml:space="preserve"> </w:t>
      </w:r>
      <w:r w:rsidR="00D34551" w:rsidRPr="00A858D5">
        <w:rPr>
          <w:lang w:val="en-GB"/>
        </w:rPr>
        <w:t>using</w:t>
      </w:r>
      <w:r w:rsidR="00DA58F2" w:rsidRPr="00A858D5">
        <w:rPr>
          <w:lang w:val="en-GB"/>
        </w:rPr>
        <w:t xml:space="preserve"> information from the 1991 in addition to the 2001 census</w:t>
      </w:r>
      <w:r w:rsidR="00637C1E" w:rsidRPr="00A858D5">
        <w:rPr>
          <w:lang w:val="en-GB"/>
        </w:rPr>
        <w:t>,</w:t>
      </w:r>
      <w:r w:rsidR="001606D2" w:rsidRPr="00A858D5">
        <w:rPr>
          <w:lang w:val="en-GB"/>
        </w:rPr>
        <w:t xml:space="preserve"> </w:t>
      </w:r>
      <w:r w:rsidR="00A9743F" w:rsidRPr="00A858D5">
        <w:rPr>
          <w:lang w:val="en-GB"/>
        </w:rPr>
        <w:t>and</w:t>
      </w:r>
      <w:r w:rsidR="000620B3" w:rsidRPr="00A858D5">
        <w:rPr>
          <w:lang w:val="en-GB"/>
        </w:rPr>
        <w:t xml:space="preserve"> </w:t>
      </w:r>
      <w:r w:rsidR="00E15DDA" w:rsidRPr="00A858D5">
        <w:rPr>
          <w:lang w:val="en-GB"/>
        </w:rPr>
        <w:t xml:space="preserve">was </w:t>
      </w:r>
      <w:r w:rsidR="00F361C9" w:rsidRPr="00A858D5">
        <w:rPr>
          <w:lang w:val="en-GB"/>
        </w:rPr>
        <w:t>categorized</w:t>
      </w:r>
      <w:r w:rsidR="00E15DDA" w:rsidRPr="00A858D5">
        <w:rPr>
          <w:lang w:val="en-GB"/>
        </w:rPr>
        <w:t xml:space="preserve"> </w:t>
      </w:r>
      <w:r w:rsidR="00BA0551" w:rsidRPr="00A858D5">
        <w:rPr>
          <w:lang w:val="en-GB"/>
        </w:rPr>
        <w:t>into</w:t>
      </w:r>
      <w:r w:rsidR="00FD745E" w:rsidRPr="00A858D5">
        <w:rPr>
          <w:lang w:val="en-GB"/>
        </w:rPr>
        <w:t xml:space="preserve"> Belgian, other high-income country [HIC] </w:t>
      </w:r>
      <w:r w:rsidR="00E5638D" w:rsidRPr="00A858D5">
        <w:rPr>
          <w:lang w:val="en-GB"/>
        </w:rPr>
        <w:t xml:space="preserve">and </w:t>
      </w:r>
      <w:r w:rsidR="00FD745E" w:rsidRPr="00A858D5">
        <w:rPr>
          <w:lang w:val="en-GB"/>
        </w:rPr>
        <w:t xml:space="preserve">low- and middle-income country [LMIC] </w:t>
      </w:r>
      <w:r w:rsidR="00FF57CA" w:rsidRPr="00A858D5">
        <w:rPr>
          <w:lang w:val="en-GB"/>
        </w:rPr>
        <w:t>(</w:t>
      </w:r>
      <w:r w:rsidR="00E02CAA" w:rsidRPr="00A858D5">
        <w:rPr>
          <w:lang w:val="en-GB"/>
        </w:rPr>
        <w:t xml:space="preserve">for a </w:t>
      </w:r>
      <w:r w:rsidR="00FF57CA" w:rsidRPr="00A858D5">
        <w:rPr>
          <w:lang w:val="en-GB"/>
        </w:rPr>
        <w:t>detail</w:t>
      </w:r>
      <w:r w:rsidR="00E02CAA" w:rsidRPr="00A858D5">
        <w:rPr>
          <w:lang w:val="en-GB"/>
        </w:rPr>
        <w:t>ed</w:t>
      </w:r>
      <w:r w:rsidR="00E80D9B" w:rsidRPr="00A858D5">
        <w:rPr>
          <w:lang w:val="en-GB"/>
        </w:rPr>
        <w:t xml:space="preserve"> description on</w:t>
      </w:r>
      <w:r w:rsidR="00FF57CA" w:rsidRPr="00A858D5">
        <w:rPr>
          <w:lang w:val="en-GB"/>
        </w:rPr>
        <w:t xml:space="preserve"> </w:t>
      </w:r>
      <w:r w:rsidR="00376015" w:rsidRPr="00A858D5">
        <w:rPr>
          <w:lang w:val="en-GB"/>
        </w:rPr>
        <w:t xml:space="preserve">the criteria </w:t>
      </w:r>
      <w:r w:rsidR="007B0838" w:rsidRPr="00A858D5">
        <w:rPr>
          <w:lang w:val="en-GB"/>
        </w:rPr>
        <w:t xml:space="preserve">followed </w:t>
      </w:r>
      <w:r w:rsidR="00376015" w:rsidRPr="00A858D5">
        <w:rPr>
          <w:lang w:val="en-GB"/>
        </w:rPr>
        <w:t xml:space="preserve">for </w:t>
      </w:r>
      <w:r w:rsidR="002A430A" w:rsidRPr="00A858D5">
        <w:rPr>
          <w:lang w:val="en-GB"/>
        </w:rPr>
        <w:t>classification</w:t>
      </w:r>
      <w:r w:rsidR="00CC3CED" w:rsidRPr="00A858D5">
        <w:rPr>
          <w:lang w:val="en-GB"/>
        </w:rPr>
        <w:t>,</w:t>
      </w:r>
      <w:r w:rsidR="00FF57CA" w:rsidRPr="00A858D5">
        <w:rPr>
          <w:lang w:val="en-GB"/>
        </w:rPr>
        <w:t xml:space="preserve"> </w:t>
      </w:r>
      <w:r w:rsidR="00E02CAA" w:rsidRPr="00A858D5">
        <w:rPr>
          <w:lang w:val="en-GB"/>
        </w:rPr>
        <w:t>see</w:t>
      </w:r>
      <w:r w:rsidR="004C434C" w:rsidRPr="00A858D5">
        <w:rPr>
          <w:lang w:val="en-GB"/>
        </w:rPr>
        <w:t xml:space="preserve"> Supplementary Methods S1 and</w:t>
      </w:r>
      <w:r w:rsidR="00FF57CA" w:rsidRPr="00A858D5">
        <w:rPr>
          <w:lang w:val="en-GB"/>
        </w:rPr>
        <w:t xml:space="preserve"> </w:t>
      </w:r>
      <w:r w:rsidR="00E02CAA" w:rsidRPr="00A858D5">
        <w:rPr>
          <w:color w:val="000000" w:themeColor="text1"/>
          <w:lang w:val="en-GB"/>
        </w:rPr>
        <w:t>Table S1)</w:t>
      </w:r>
      <w:r w:rsidR="004E377F" w:rsidRPr="00A858D5">
        <w:rPr>
          <w:color w:val="000000" w:themeColor="text1"/>
          <w:lang w:val="en-GB"/>
        </w:rPr>
        <w:t>.</w:t>
      </w:r>
    </w:p>
    <w:p w14:paraId="12A9A375" w14:textId="77236019" w:rsidR="00723D77" w:rsidRPr="00A858D5" w:rsidRDefault="00A76EB8" w:rsidP="008B20D9">
      <w:pPr>
        <w:pStyle w:val="Heading2"/>
        <w:rPr>
          <w:lang w:val="en-GB"/>
        </w:rPr>
      </w:pPr>
      <w:r w:rsidRPr="00A858D5">
        <w:rPr>
          <w:lang w:val="en-GB"/>
        </w:rPr>
        <w:t>Potential confounders</w:t>
      </w:r>
    </w:p>
    <w:p w14:paraId="75F43E23" w14:textId="60ECB2FC" w:rsidR="007E3489" w:rsidRPr="00A858D5" w:rsidRDefault="00A76EB8" w:rsidP="009D5988">
      <w:pPr>
        <w:rPr>
          <w:lang w:val="en-GB"/>
        </w:rPr>
      </w:pPr>
      <w:r w:rsidRPr="00A858D5">
        <w:rPr>
          <w:lang w:val="en-GB"/>
        </w:rPr>
        <w:t>We</w:t>
      </w:r>
      <w:r w:rsidR="009F021C" w:rsidRPr="00A858D5">
        <w:rPr>
          <w:lang w:val="en-GB"/>
        </w:rPr>
        <w:t xml:space="preserve"> </w:t>
      </w:r>
      <w:r w:rsidRPr="00A858D5">
        <w:rPr>
          <w:lang w:val="en-GB"/>
        </w:rPr>
        <w:t xml:space="preserve">considered age, household </w:t>
      </w:r>
      <w:r w:rsidR="00F907BC" w:rsidRPr="00A858D5">
        <w:rPr>
          <w:lang w:val="en-GB"/>
        </w:rPr>
        <w:t>living arrangement</w:t>
      </w:r>
      <w:r w:rsidRPr="00A858D5">
        <w:rPr>
          <w:lang w:val="en-GB"/>
        </w:rPr>
        <w:t xml:space="preserve">, </w:t>
      </w:r>
      <w:r w:rsidR="00C621D0" w:rsidRPr="00A858D5">
        <w:rPr>
          <w:lang w:val="en-GB"/>
        </w:rPr>
        <w:t xml:space="preserve">area-level SEP, </w:t>
      </w:r>
      <w:r w:rsidRPr="00A858D5">
        <w:rPr>
          <w:lang w:val="en-GB"/>
        </w:rPr>
        <w:t>and outdoor air and noise pollution as potential confounders.</w:t>
      </w:r>
      <w:r w:rsidR="00346A9F" w:rsidRPr="00A858D5">
        <w:rPr>
          <w:lang w:val="en-GB"/>
        </w:rPr>
        <w:t xml:space="preserve"> </w:t>
      </w:r>
      <w:r w:rsidRPr="00A858D5">
        <w:rPr>
          <w:lang w:val="en-GB"/>
        </w:rPr>
        <w:t>A</w:t>
      </w:r>
      <w:r w:rsidR="00346A9F" w:rsidRPr="00A858D5">
        <w:rPr>
          <w:lang w:val="en-GB"/>
        </w:rPr>
        <w:t xml:space="preserve">ge </w:t>
      </w:r>
      <w:r w:rsidRPr="00A858D5">
        <w:rPr>
          <w:lang w:val="en-GB"/>
        </w:rPr>
        <w:t xml:space="preserve">was included </w:t>
      </w:r>
      <w:r w:rsidR="00346A9F" w:rsidRPr="00A858D5">
        <w:rPr>
          <w:lang w:val="en-GB"/>
        </w:rPr>
        <w:t>both as</w:t>
      </w:r>
      <w:r w:rsidR="00A832D1" w:rsidRPr="00A858D5">
        <w:rPr>
          <w:lang w:val="en-GB"/>
        </w:rPr>
        <w:t xml:space="preserve"> a</w:t>
      </w:r>
      <w:r w:rsidR="00346A9F" w:rsidRPr="00A858D5">
        <w:rPr>
          <w:lang w:val="en-GB"/>
        </w:rPr>
        <w:t xml:space="preserve"> continuous and as </w:t>
      </w:r>
      <w:r w:rsidR="00A832D1" w:rsidRPr="00A858D5">
        <w:rPr>
          <w:lang w:val="en-GB"/>
        </w:rPr>
        <w:t xml:space="preserve">a </w:t>
      </w:r>
      <w:r w:rsidR="00346A9F" w:rsidRPr="00A858D5">
        <w:rPr>
          <w:lang w:val="en-GB"/>
        </w:rPr>
        <w:t>categorical</w:t>
      </w:r>
      <w:r w:rsidR="00A832D1" w:rsidRPr="00A858D5">
        <w:rPr>
          <w:lang w:val="en-GB"/>
        </w:rPr>
        <w:t xml:space="preserve"> variable</w:t>
      </w:r>
      <w:r w:rsidRPr="00A858D5">
        <w:rPr>
          <w:lang w:val="en-GB"/>
        </w:rPr>
        <w:t>. The latter was included</w:t>
      </w:r>
      <w:r w:rsidR="00A55F63" w:rsidRPr="00A858D5">
        <w:rPr>
          <w:lang w:val="en-GB"/>
        </w:rPr>
        <w:t xml:space="preserve"> </w:t>
      </w:r>
      <w:r w:rsidR="00182370" w:rsidRPr="00A858D5">
        <w:rPr>
          <w:lang w:val="en-GB"/>
        </w:rPr>
        <w:t>to account for cohort effects</w:t>
      </w:r>
      <w:r w:rsidRPr="00A858D5">
        <w:rPr>
          <w:lang w:val="en-GB"/>
        </w:rPr>
        <w:t xml:space="preserve">, and </w:t>
      </w:r>
      <w:r w:rsidR="00F93755" w:rsidRPr="00A858D5">
        <w:rPr>
          <w:lang w:val="en-GB"/>
        </w:rPr>
        <w:t xml:space="preserve">consists of </w:t>
      </w:r>
      <w:r w:rsidRPr="00A858D5">
        <w:rPr>
          <w:lang w:val="en-GB"/>
        </w:rPr>
        <w:t>the following categories:</w:t>
      </w:r>
      <w:r w:rsidR="00346A9F" w:rsidRPr="00A858D5">
        <w:rPr>
          <w:lang w:val="en-GB"/>
        </w:rPr>
        <w:t xml:space="preserve"> 16-24 years, 25-39 years, 40-64 years, 65-80 years</w:t>
      </w:r>
      <w:r w:rsidRPr="00A858D5">
        <w:rPr>
          <w:lang w:val="en-GB"/>
        </w:rPr>
        <w:t>. H</w:t>
      </w:r>
      <w:r w:rsidR="00346A9F" w:rsidRPr="00A858D5">
        <w:rPr>
          <w:lang w:val="en-GB"/>
        </w:rPr>
        <w:t xml:space="preserve">ousehold </w:t>
      </w:r>
      <w:r w:rsidR="00F907BC" w:rsidRPr="00A858D5">
        <w:rPr>
          <w:lang w:val="en-GB"/>
        </w:rPr>
        <w:t xml:space="preserve">living arrangement </w:t>
      </w:r>
      <w:r w:rsidRPr="00A858D5">
        <w:rPr>
          <w:lang w:val="en-GB"/>
        </w:rPr>
        <w:t xml:space="preserve">was </w:t>
      </w:r>
      <w:r w:rsidR="00A832D1" w:rsidRPr="00A858D5">
        <w:rPr>
          <w:lang w:val="en-GB"/>
        </w:rPr>
        <w:t xml:space="preserve">categorized </w:t>
      </w:r>
      <w:r w:rsidR="004377B9" w:rsidRPr="00A858D5">
        <w:rPr>
          <w:lang w:val="en-GB"/>
        </w:rPr>
        <w:t>into</w:t>
      </w:r>
      <w:r w:rsidR="00A832D1" w:rsidRPr="00A858D5">
        <w:rPr>
          <w:lang w:val="en-GB"/>
        </w:rPr>
        <w:t xml:space="preserve"> </w:t>
      </w:r>
      <w:r w:rsidR="00346A9F" w:rsidRPr="00A858D5">
        <w:rPr>
          <w:lang w:val="en-GB"/>
        </w:rPr>
        <w:t>single</w:t>
      </w:r>
      <w:r w:rsidR="00186362" w:rsidRPr="00A858D5">
        <w:rPr>
          <w:lang w:val="en-GB"/>
        </w:rPr>
        <w:t>,</w:t>
      </w:r>
      <w:r w:rsidR="005D4468" w:rsidRPr="00A858D5">
        <w:rPr>
          <w:lang w:val="en-GB"/>
        </w:rPr>
        <w:t xml:space="preserve"> </w:t>
      </w:r>
      <w:r w:rsidR="00346A9F" w:rsidRPr="00A858D5">
        <w:rPr>
          <w:lang w:val="en-GB"/>
        </w:rPr>
        <w:t>cohabiting</w:t>
      </w:r>
      <w:r w:rsidR="00186362" w:rsidRPr="00A858D5">
        <w:rPr>
          <w:lang w:val="en-GB"/>
        </w:rPr>
        <w:t xml:space="preserve"> with the partner</w:t>
      </w:r>
      <w:r w:rsidR="00AE6F02" w:rsidRPr="00A858D5">
        <w:rPr>
          <w:lang w:val="en-GB"/>
        </w:rPr>
        <w:t xml:space="preserve"> and other</w:t>
      </w:r>
      <w:r w:rsidRPr="00A858D5">
        <w:rPr>
          <w:lang w:val="en-GB"/>
        </w:rPr>
        <w:t>.</w:t>
      </w:r>
      <w:r w:rsidR="00346A9F" w:rsidRPr="00A858D5">
        <w:rPr>
          <w:lang w:val="en-GB"/>
        </w:rPr>
        <w:t xml:space="preserve"> </w:t>
      </w:r>
      <w:r w:rsidRPr="00A858D5">
        <w:rPr>
          <w:lang w:val="en-GB"/>
        </w:rPr>
        <w:t>A</w:t>
      </w:r>
      <w:r w:rsidR="00346A9F" w:rsidRPr="00A858D5">
        <w:rPr>
          <w:lang w:val="en-GB"/>
        </w:rPr>
        <w:t xml:space="preserve">rea-level </w:t>
      </w:r>
      <w:r w:rsidR="003F0AC3" w:rsidRPr="00A858D5">
        <w:rPr>
          <w:lang w:val="en-GB"/>
        </w:rPr>
        <w:t>SEP</w:t>
      </w:r>
      <w:r w:rsidRPr="00A858D5">
        <w:rPr>
          <w:lang w:val="en-GB"/>
        </w:rPr>
        <w:t xml:space="preserve"> </w:t>
      </w:r>
      <w:r w:rsidR="006A2145" w:rsidRPr="00A858D5">
        <w:rPr>
          <w:lang w:val="en-GB"/>
        </w:rPr>
        <w:t xml:space="preserve">was </w:t>
      </w:r>
      <w:r w:rsidR="00A832D1" w:rsidRPr="00A858D5">
        <w:rPr>
          <w:lang w:val="en-GB"/>
        </w:rPr>
        <w:t xml:space="preserve">approximated as </w:t>
      </w:r>
      <w:r w:rsidR="00346A9F" w:rsidRPr="00A858D5">
        <w:rPr>
          <w:lang w:val="en-GB"/>
        </w:rPr>
        <w:t>the percentage of</w:t>
      </w:r>
      <w:r w:rsidR="006A2145" w:rsidRPr="00A858D5">
        <w:rPr>
          <w:lang w:val="en-GB"/>
        </w:rPr>
        <w:t xml:space="preserve"> unemployed over the total working population</w:t>
      </w:r>
      <w:r w:rsidR="00346A9F" w:rsidRPr="00A858D5">
        <w:rPr>
          <w:lang w:val="en-GB"/>
        </w:rPr>
        <w:t xml:space="preserve"> at the statistical ward level.</w:t>
      </w:r>
      <w:r w:rsidR="004309BF" w:rsidRPr="00A858D5">
        <w:rPr>
          <w:lang w:val="en-GB"/>
        </w:rPr>
        <w:t xml:space="preserve"> </w:t>
      </w:r>
      <w:r w:rsidR="00695178" w:rsidRPr="00A858D5">
        <w:rPr>
          <w:lang w:val="en-GB"/>
        </w:rPr>
        <w:t xml:space="preserve">In order to avoid extreme values, </w:t>
      </w:r>
      <w:r w:rsidR="004309BF" w:rsidRPr="00A858D5">
        <w:rPr>
          <w:lang w:val="en-GB"/>
        </w:rPr>
        <w:t xml:space="preserve">individuals living in statistical wards with less than 200 inhabitants were excluded </w:t>
      </w:r>
      <w:r w:rsidR="00BF3904" w:rsidRPr="00A858D5">
        <w:rPr>
          <w:lang w:val="en-GB"/>
        </w:rPr>
        <w:t>(</w:t>
      </w:r>
      <w:r w:rsidR="00FA393E" w:rsidRPr="00A858D5">
        <w:rPr>
          <w:lang w:val="en-GB"/>
        </w:rPr>
        <w:t>97 statistical wards</w:t>
      </w:r>
      <w:r w:rsidR="00992AE7" w:rsidRPr="00A858D5">
        <w:rPr>
          <w:lang w:val="en-GB"/>
        </w:rPr>
        <w:t>;</w:t>
      </w:r>
      <w:r w:rsidR="00FA393E" w:rsidRPr="00A858D5">
        <w:rPr>
          <w:lang w:val="en-GB"/>
        </w:rPr>
        <w:t xml:space="preserve"> </w:t>
      </w:r>
      <w:r w:rsidR="00BF3904" w:rsidRPr="00A858D5">
        <w:rPr>
          <w:lang w:val="en-GB"/>
        </w:rPr>
        <w:t>N=</w:t>
      </w:r>
      <w:r w:rsidR="00345658" w:rsidRPr="00A858D5">
        <w:rPr>
          <w:lang w:val="en-GB"/>
        </w:rPr>
        <w:t>3</w:t>
      </w:r>
      <w:r w:rsidR="00BF3904" w:rsidRPr="00A858D5">
        <w:rPr>
          <w:lang w:val="en-GB"/>
        </w:rPr>
        <w:t>,</w:t>
      </w:r>
      <w:r w:rsidR="00345658" w:rsidRPr="00A858D5">
        <w:rPr>
          <w:lang w:val="en-GB"/>
        </w:rPr>
        <w:t>6</w:t>
      </w:r>
      <w:r w:rsidR="005D5887" w:rsidRPr="00A858D5">
        <w:rPr>
          <w:lang w:val="en-GB"/>
        </w:rPr>
        <w:t>23</w:t>
      </w:r>
      <w:r w:rsidR="00992AE7" w:rsidRPr="00A858D5">
        <w:rPr>
          <w:lang w:val="en-GB"/>
        </w:rPr>
        <w:t>,</w:t>
      </w:r>
      <w:r w:rsidR="00BF3904" w:rsidRPr="00A858D5">
        <w:rPr>
          <w:lang w:val="en-GB"/>
        </w:rPr>
        <w:t xml:space="preserve"> &lt;1%)</w:t>
      </w:r>
      <w:r w:rsidR="004309BF" w:rsidRPr="00A858D5">
        <w:rPr>
          <w:lang w:val="en-GB"/>
        </w:rPr>
        <w:t>.</w:t>
      </w:r>
    </w:p>
    <w:p w14:paraId="1C65CC63" w14:textId="10FB1115" w:rsidR="00114616" w:rsidRPr="00A858D5" w:rsidRDefault="009F021C" w:rsidP="009D5988">
      <w:pPr>
        <w:rPr>
          <w:lang w:val="en-GB"/>
        </w:rPr>
      </w:pPr>
      <w:r w:rsidRPr="00A858D5">
        <w:rPr>
          <w:lang w:val="en-GB"/>
        </w:rPr>
        <w:lastRenderedPageBreak/>
        <w:t xml:space="preserve">Outdoor environment </w:t>
      </w:r>
      <w:r w:rsidR="003423C5" w:rsidRPr="00A858D5">
        <w:rPr>
          <w:lang w:val="en-GB"/>
        </w:rPr>
        <w:t>covariates consist</w:t>
      </w:r>
      <w:r w:rsidR="009556C1" w:rsidRPr="00A858D5">
        <w:rPr>
          <w:lang w:val="en-GB"/>
        </w:rPr>
        <w:t xml:space="preserve"> of </w:t>
      </w:r>
      <w:r w:rsidRPr="00A858D5">
        <w:rPr>
          <w:lang w:val="en-GB"/>
        </w:rPr>
        <w:t xml:space="preserve">modelled </w:t>
      </w:r>
      <w:r w:rsidR="00F06685" w:rsidRPr="00A858D5">
        <w:rPr>
          <w:lang w:val="en-GB"/>
        </w:rPr>
        <w:t xml:space="preserve">ambient </w:t>
      </w:r>
      <w:r w:rsidRPr="00A858D5">
        <w:rPr>
          <w:lang w:val="en-GB"/>
        </w:rPr>
        <w:t>a</w:t>
      </w:r>
      <w:r w:rsidR="008F1AAC" w:rsidRPr="00A858D5">
        <w:rPr>
          <w:lang w:val="en-GB"/>
        </w:rPr>
        <w:t>ir and noise pollution estimates</w:t>
      </w:r>
      <w:r w:rsidRPr="00A858D5">
        <w:rPr>
          <w:lang w:val="en-GB"/>
        </w:rPr>
        <w:t xml:space="preserve">. These </w:t>
      </w:r>
      <w:r w:rsidR="008F1AAC" w:rsidRPr="00A858D5">
        <w:rPr>
          <w:lang w:val="en-GB"/>
        </w:rPr>
        <w:t xml:space="preserve">were linked to the residential address of each </w:t>
      </w:r>
      <w:r w:rsidR="00A832D1" w:rsidRPr="00A858D5">
        <w:rPr>
          <w:lang w:val="en-GB"/>
        </w:rPr>
        <w:t xml:space="preserve">respondent. </w:t>
      </w:r>
      <w:r w:rsidR="00F06685" w:rsidRPr="00A858D5">
        <w:rPr>
          <w:lang w:val="en-GB"/>
        </w:rPr>
        <w:t>High resolution ambient air pollution data for the year 2005 was</w:t>
      </w:r>
      <w:r w:rsidR="008F1AAC" w:rsidRPr="00A858D5">
        <w:rPr>
          <w:lang w:val="en-GB"/>
        </w:rPr>
        <w:t xml:space="preserve"> </w:t>
      </w:r>
      <w:r w:rsidR="009C7BD4" w:rsidRPr="00A858D5">
        <w:rPr>
          <w:lang w:val="en-GB"/>
        </w:rPr>
        <w:t>provided</w:t>
      </w:r>
      <w:r w:rsidR="005377BC" w:rsidRPr="00A858D5">
        <w:rPr>
          <w:lang w:val="en-GB"/>
        </w:rPr>
        <w:t xml:space="preserve"> at 25x25m grids</w:t>
      </w:r>
      <w:r w:rsidR="009C7BD4" w:rsidRPr="00A858D5">
        <w:rPr>
          <w:lang w:val="en-GB"/>
        </w:rPr>
        <w:t xml:space="preserve"> by </w:t>
      </w:r>
      <w:r w:rsidR="008F1AAC" w:rsidRPr="00A858D5">
        <w:rPr>
          <w:lang w:val="en-GB"/>
        </w:rPr>
        <w:t>the Belgian Interregional Environment Agency (IRCEL-CELINE)</w:t>
      </w:r>
      <w:r w:rsidR="002070D4" w:rsidRPr="00A858D5">
        <w:rPr>
          <w:lang w:val="en-GB"/>
        </w:rPr>
        <w:t xml:space="preserve"> (</w:t>
      </w:r>
      <w:hyperlink r:id="rId19" w:history="1">
        <w:r w:rsidR="00F34F12" w:rsidRPr="00A858D5">
          <w:rPr>
            <w:rStyle w:val="Hyperlink"/>
            <w:szCs w:val="22"/>
            <w:lang w:val="en-GB"/>
          </w:rPr>
          <w:t>www.irceline.be</w:t>
        </w:r>
      </w:hyperlink>
      <w:r w:rsidR="00F34F12" w:rsidRPr="00A858D5">
        <w:rPr>
          <w:lang w:val="en-GB"/>
        </w:rPr>
        <w:t>)</w:t>
      </w:r>
      <w:r w:rsidR="008F1AAC" w:rsidRPr="00A858D5">
        <w:rPr>
          <w:lang w:val="en-GB"/>
        </w:rPr>
        <w:t xml:space="preserve">. </w:t>
      </w:r>
      <w:r w:rsidR="009C7BD4" w:rsidRPr="00A858D5">
        <w:rPr>
          <w:lang w:val="en-GB"/>
        </w:rPr>
        <w:t>In Belgium,</w:t>
      </w:r>
      <w:r w:rsidR="00283953" w:rsidRPr="00A858D5">
        <w:rPr>
          <w:lang w:val="en-GB"/>
        </w:rPr>
        <w:t xml:space="preserve"> concentrations</w:t>
      </w:r>
      <w:r w:rsidR="009C7BD4" w:rsidRPr="00A858D5">
        <w:rPr>
          <w:lang w:val="en-GB"/>
        </w:rPr>
        <w:t xml:space="preserve"> of several air pollutants</w:t>
      </w:r>
      <w:r w:rsidR="00283953" w:rsidRPr="00A858D5">
        <w:rPr>
          <w:lang w:val="en-GB"/>
        </w:rPr>
        <w:t xml:space="preserve"> are continuously measured through a wide network of monitoring stations</w:t>
      </w:r>
      <w:r w:rsidR="005A05B8" w:rsidRPr="00A858D5">
        <w:rPr>
          <w:lang w:val="en-GB"/>
        </w:rPr>
        <w:t>.</w:t>
      </w:r>
      <w:r w:rsidR="00451D9E" w:rsidRPr="00A858D5">
        <w:rPr>
          <w:lang w:val="en-GB"/>
        </w:rPr>
        <w:t xml:space="preserve"> </w:t>
      </w:r>
      <w:r w:rsidR="005A05B8" w:rsidRPr="00A858D5">
        <w:rPr>
          <w:lang w:val="en-GB"/>
        </w:rPr>
        <w:t>This data is</w:t>
      </w:r>
      <w:r w:rsidR="009C7BD4" w:rsidRPr="00A858D5">
        <w:rPr>
          <w:lang w:val="en-GB"/>
        </w:rPr>
        <w:t xml:space="preserve"> used in s</w:t>
      </w:r>
      <w:r w:rsidR="00283953" w:rsidRPr="00A858D5">
        <w:rPr>
          <w:lang w:val="en-GB"/>
        </w:rPr>
        <w:t>patial-temporal (kriging) interpolation model</w:t>
      </w:r>
      <w:r w:rsidR="00266514" w:rsidRPr="00A858D5">
        <w:rPr>
          <w:lang w:val="en-GB"/>
        </w:rPr>
        <w:t>s</w:t>
      </w:r>
      <w:r w:rsidR="009C7BD4" w:rsidRPr="00A858D5">
        <w:rPr>
          <w:lang w:val="en-GB"/>
        </w:rPr>
        <w:t xml:space="preserve"> </w:t>
      </w:r>
      <w:r w:rsidR="006C2627" w:rsidRPr="00A858D5">
        <w:rPr>
          <w:lang w:val="en-GB"/>
        </w:rPr>
        <w:t xml:space="preserve">and combined with a Gaussian dispersion model based on emissions from traffic and industrial sources and including meteorological data to calculate pollutant concentrations </w:t>
      </w:r>
      <w:r w:rsidR="006C2627" w:rsidRPr="00A858D5">
        <w:rPr>
          <w:lang w:val="en-GB"/>
        </w:rPr>
        <w:fldChar w:fldCharType="begin" w:fldLock="1"/>
      </w:r>
      <w:r w:rsidR="00452D47">
        <w:rPr>
          <w:lang w:val="en-GB"/>
        </w:rPr>
        <w:instrText>ADDIN CSL_CITATION {"citationItems":[{"id":"ITEM-1","itemData":{"DOI":"10.1039/b612607n","ISSN":"1464-0325","author":[{"dropping-particle":"","family":"Hooyberghs","given":"Jef","non-dropping-particle":"","parse-names":false,"suffix":""},{"dropping-particle":"","family":"Mensink","given":"Clemens","non-dropping-particle":"","parse-names":false,"suffix":""},{"dropping-particle":"","family":"Dumont","given":"Gerwin","non-dropping-particle":"","parse-names":false,"suffix":""},{"dropping-particle":"","family":"Fierens","given":"Frans","non-dropping-particle":"","parse-names":false,"suffix":""}],"container-title":"Journal of Environmental Monitoring : JEM","id":"ITEM-1","issue":"11","issued":{"date-parts":[["2006","11"]]},"page":"1129—1135","title":"Spatial interpolation of ambient ozone concentrations from sparse monitoring points in Belgium","type":"article-journal","volume":"8"},"uris":["http://www.mendeley.com/documents/?uuid=71fca5a9-2ad5-45eb-88c3-7112d51efe7e"]},{"id":"ITEM-2","itemData":{"author":[{"dropping-particle":"","family":"Lefebvre","given":"Wouter","non-dropping-particle":"","parse-names":false,"suffix":""},{"dropping-particle":"","family":"Vranckx","given":"Stijn","non-dropping-particle":"","parse-names":false,"suffix":""}],"id":"ITEM-2","issued":{"date-parts":[["2013"]]},"publisher-place":"Mol, Belgium","title":"Validation of the IFDM-model for use in urban applications: study accomplished in the framework of the ATMOSYS-project","type":"report"},"uris":["http://www.mendeley.com/documents/?uuid=4f07556d-868a-4f8b-ae93-bd0ca295464c"]}],"mendeley":{"formattedCitation":"(Hooyberghs et al., 2006; Lefebvre and Vranckx, 2013)","plainTextFormattedCitation":"(Hooyberghs et al., 2006; Lefebvre and Vranckx, 2013)","previouslyFormattedCitation":"(Hooyberghs et al., 2006; Lefebvre and Vranckx, 2013)"},"properties":{"noteIndex":0},"schema":"https://github.com/citation-style-language/schema/raw/master/csl-citation.json"}</w:instrText>
      </w:r>
      <w:r w:rsidR="006C2627" w:rsidRPr="00A858D5">
        <w:rPr>
          <w:lang w:val="en-GB"/>
        </w:rPr>
        <w:fldChar w:fldCharType="separate"/>
      </w:r>
      <w:r w:rsidR="009F0D48" w:rsidRPr="00113E16">
        <w:rPr>
          <w:noProof/>
          <w:lang w:val="en-GB"/>
        </w:rPr>
        <w:t>(Hooyberghs et al., 2006; Lefebvre and Vranckx, 2013)</w:t>
      </w:r>
      <w:r w:rsidR="006C2627" w:rsidRPr="00A858D5">
        <w:rPr>
          <w:lang w:val="en-GB"/>
        </w:rPr>
        <w:fldChar w:fldCharType="end"/>
      </w:r>
      <w:r w:rsidR="00283953" w:rsidRPr="00A858D5">
        <w:rPr>
          <w:lang w:val="en-GB"/>
        </w:rPr>
        <w:t xml:space="preserve">. </w:t>
      </w:r>
      <w:r w:rsidR="00266514" w:rsidRPr="00A858D5">
        <w:rPr>
          <w:lang w:val="en-GB"/>
        </w:rPr>
        <w:t>In this study, w</w:t>
      </w:r>
      <w:r w:rsidR="002070D4" w:rsidRPr="00A858D5">
        <w:rPr>
          <w:lang w:val="en-GB"/>
        </w:rPr>
        <w:t>e</w:t>
      </w:r>
      <w:r w:rsidR="00266514" w:rsidRPr="00A858D5">
        <w:rPr>
          <w:lang w:val="en-GB"/>
        </w:rPr>
        <w:t xml:space="preserve"> include</w:t>
      </w:r>
      <w:r w:rsidR="0017078C" w:rsidRPr="00A858D5">
        <w:rPr>
          <w:lang w:val="en-GB"/>
        </w:rPr>
        <w:t>d</w:t>
      </w:r>
      <w:r w:rsidR="002070D4" w:rsidRPr="00A858D5">
        <w:rPr>
          <w:lang w:val="en-GB"/>
        </w:rPr>
        <w:t xml:space="preserve"> a</w:t>
      </w:r>
      <w:r w:rsidR="008F1AAC" w:rsidRPr="00A858D5">
        <w:rPr>
          <w:lang w:val="en-GB"/>
        </w:rPr>
        <w:t>nnual mean concentrations (µg/m</w:t>
      </w:r>
      <w:r w:rsidR="008F1AAC" w:rsidRPr="00A858D5">
        <w:rPr>
          <w:vertAlign w:val="superscript"/>
          <w:lang w:val="en-GB"/>
        </w:rPr>
        <w:t>3</w:t>
      </w:r>
      <w:r w:rsidR="008F1AAC" w:rsidRPr="00A858D5">
        <w:rPr>
          <w:lang w:val="en-GB"/>
        </w:rPr>
        <w:t>)</w:t>
      </w:r>
      <w:r w:rsidR="00266514" w:rsidRPr="00A858D5">
        <w:rPr>
          <w:lang w:val="en-GB"/>
        </w:rPr>
        <w:t xml:space="preserve"> at the residential address</w:t>
      </w:r>
      <w:r w:rsidR="008F1AAC" w:rsidRPr="00A858D5">
        <w:rPr>
          <w:lang w:val="en-GB"/>
        </w:rPr>
        <w:t xml:space="preserve"> of particulate matter with an aerodynamic diameter smaller than 10µm (PM</w:t>
      </w:r>
      <w:r w:rsidR="008F1AAC" w:rsidRPr="00A858D5">
        <w:rPr>
          <w:vertAlign w:val="subscript"/>
          <w:lang w:val="en-GB"/>
        </w:rPr>
        <w:t>10</w:t>
      </w:r>
      <w:r w:rsidR="008F1AAC" w:rsidRPr="00A858D5">
        <w:rPr>
          <w:lang w:val="en-GB"/>
        </w:rPr>
        <w:t>) and 2.5µm (PM</w:t>
      </w:r>
      <w:r w:rsidR="008F1AAC" w:rsidRPr="00A858D5">
        <w:rPr>
          <w:vertAlign w:val="subscript"/>
          <w:lang w:val="en-GB"/>
        </w:rPr>
        <w:t>2.5</w:t>
      </w:r>
      <w:r w:rsidR="008F1AAC" w:rsidRPr="00A858D5">
        <w:rPr>
          <w:lang w:val="en-GB"/>
        </w:rPr>
        <w:t>)</w:t>
      </w:r>
      <w:r w:rsidR="00353010" w:rsidRPr="00A858D5">
        <w:rPr>
          <w:lang w:val="en-GB"/>
        </w:rPr>
        <w:t>,</w:t>
      </w:r>
      <w:r w:rsidR="00C579B4" w:rsidRPr="00A858D5">
        <w:rPr>
          <w:lang w:val="en-GB"/>
        </w:rPr>
        <w:t xml:space="preserve"> </w:t>
      </w:r>
      <w:r w:rsidR="008F1AAC" w:rsidRPr="00A858D5">
        <w:rPr>
          <w:lang w:val="en-GB"/>
        </w:rPr>
        <w:t>nitrogen dioxide (NO</w:t>
      </w:r>
      <w:r w:rsidR="008F1AAC" w:rsidRPr="00A858D5">
        <w:rPr>
          <w:vertAlign w:val="subscript"/>
          <w:lang w:val="en-GB"/>
        </w:rPr>
        <w:t>2</w:t>
      </w:r>
      <w:r w:rsidR="008F1AAC" w:rsidRPr="00A858D5">
        <w:rPr>
          <w:lang w:val="en-GB"/>
        </w:rPr>
        <w:t>)</w:t>
      </w:r>
      <w:r w:rsidR="00353010" w:rsidRPr="00A858D5">
        <w:rPr>
          <w:lang w:val="en-GB"/>
        </w:rPr>
        <w:t xml:space="preserve"> and </w:t>
      </w:r>
      <w:r w:rsidR="007F68E4" w:rsidRPr="00A858D5">
        <w:rPr>
          <w:lang w:val="en-GB"/>
        </w:rPr>
        <w:t>b</w:t>
      </w:r>
      <w:r w:rsidR="00353010" w:rsidRPr="00A858D5">
        <w:rPr>
          <w:lang w:val="en-GB"/>
        </w:rPr>
        <w:t>lack carbon (BC)</w:t>
      </w:r>
      <w:r w:rsidR="00C579B4" w:rsidRPr="00A858D5">
        <w:rPr>
          <w:lang w:val="en-GB"/>
        </w:rPr>
        <w:t xml:space="preserve">. </w:t>
      </w:r>
      <w:r w:rsidR="008F1AAC" w:rsidRPr="00A858D5">
        <w:rPr>
          <w:lang w:val="en-GB"/>
        </w:rPr>
        <w:t>BC</w:t>
      </w:r>
      <w:r w:rsidR="00772E4C" w:rsidRPr="00A858D5">
        <w:rPr>
          <w:lang w:val="en-GB"/>
        </w:rPr>
        <w:t xml:space="preserve"> </w:t>
      </w:r>
      <w:r w:rsidR="00115A51" w:rsidRPr="00A858D5">
        <w:rPr>
          <w:lang w:val="en-GB"/>
        </w:rPr>
        <w:t xml:space="preserve">concentrations </w:t>
      </w:r>
      <w:r w:rsidR="00772E4C" w:rsidRPr="00A858D5">
        <w:rPr>
          <w:lang w:val="en-GB"/>
        </w:rPr>
        <w:t xml:space="preserve">were </w:t>
      </w:r>
      <w:r w:rsidR="00353010" w:rsidRPr="00A858D5">
        <w:rPr>
          <w:lang w:val="en-GB"/>
        </w:rPr>
        <w:t>available</w:t>
      </w:r>
      <w:r w:rsidR="00115A51" w:rsidRPr="00A858D5">
        <w:rPr>
          <w:lang w:val="en-GB"/>
        </w:rPr>
        <w:t xml:space="preserve"> </w:t>
      </w:r>
      <w:r w:rsidR="008C4A8B" w:rsidRPr="00A858D5">
        <w:rPr>
          <w:lang w:val="en-GB"/>
        </w:rPr>
        <w:t>for</w:t>
      </w:r>
      <w:r w:rsidR="00115A51" w:rsidRPr="00A858D5">
        <w:rPr>
          <w:lang w:val="en-GB"/>
        </w:rPr>
        <w:t xml:space="preserve"> the year 201</w:t>
      </w:r>
      <w:r w:rsidR="001D2990" w:rsidRPr="00A858D5">
        <w:rPr>
          <w:lang w:val="en-GB"/>
        </w:rPr>
        <w:t>0</w:t>
      </w:r>
      <w:r w:rsidR="008F1AAC" w:rsidRPr="00A858D5">
        <w:rPr>
          <w:lang w:val="en-GB"/>
        </w:rPr>
        <w:t xml:space="preserve">. Data on 2016 noise pollution was provided by Brussels Environment, the </w:t>
      </w:r>
      <w:r w:rsidR="006A668E" w:rsidRPr="00A858D5">
        <w:rPr>
          <w:lang w:val="en-GB"/>
        </w:rPr>
        <w:t>official regional environment agency</w:t>
      </w:r>
      <w:r w:rsidR="00D73072" w:rsidRPr="00A858D5">
        <w:rPr>
          <w:lang w:val="en-GB"/>
        </w:rPr>
        <w:t xml:space="preserve"> (</w:t>
      </w:r>
      <w:hyperlink r:id="rId20" w:history="1">
        <w:r w:rsidR="00D73072" w:rsidRPr="00A858D5">
          <w:rPr>
            <w:rStyle w:val="Hyperlink"/>
            <w:bCs/>
            <w:szCs w:val="22"/>
            <w:lang w:val="en-GB"/>
          </w:rPr>
          <w:t>https://leefmilieu.brussels</w:t>
        </w:r>
      </w:hyperlink>
      <w:r w:rsidR="00D73072" w:rsidRPr="00A858D5">
        <w:rPr>
          <w:lang w:val="en-GB"/>
        </w:rPr>
        <w:t>)</w:t>
      </w:r>
      <w:r w:rsidR="00262D7F" w:rsidRPr="00A858D5">
        <w:rPr>
          <w:lang w:val="en-GB"/>
        </w:rPr>
        <w:t xml:space="preserve"> at fine spatial resolution (10x10 m)</w:t>
      </w:r>
      <w:r w:rsidR="00C30FA7" w:rsidRPr="00A858D5">
        <w:rPr>
          <w:lang w:val="en-GB"/>
        </w:rPr>
        <w:t xml:space="preserve"> for road, </w:t>
      </w:r>
      <w:r w:rsidR="007D164E" w:rsidRPr="00A858D5">
        <w:rPr>
          <w:lang w:val="en-GB"/>
        </w:rPr>
        <w:t>rail</w:t>
      </w:r>
      <w:r w:rsidR="00992335" w:rsidRPr="00A858D5">
        <w:rPr>
          <w:lang w:val="en-GB"/>
        </w:rPr>
        <w:t>,</w:t>
      </w:r>
      <w:r w:rsidR="007D164E" w:rsidRPr="00A858D5">
        <w:rPr>
          <w:lang w:val="en-GB"/>
        </w:rPr>
        <w:t xml:space="preserve"> </w:t>
      </w:r>
      <w:r w:rsidR="00992335" w:rsidRPr="00A858D5">
        <w:rPr>
          <w:lang w:val="en-GB"/>
        </w:rPr>
        <w:t xml:space="preserve">air, </w:t>
      </w:r>
      <w:r w:rsidR="007D164E" w:rsidRPr="00A858D5">
        <w:rPr>
          <w:lang w:val="en-GB"/>
        </w:rPr>
        <w:t>and multi-exposure</w:t>
      </w:r>
      <w:r w:rsidR="00992335" w:rsidRPr="00A858D5">
        <w:rPr>
          <w:lang w:val="en-GB"/>
        </w:rPr>
        <w:t xml:space="preserve"> (road</w:t>
      </w:r>
      <w:r w:rsidR="00F157E7" w:rsidRPr="00A858D5">
        <w:rPr>
          <w:lang w:val="en-GB"/>
        </w:rPr>
        <w:t>/</w:t>
      </w:r>
      <w:r w:rsidR="00992335" w:rsidRPr="00A858D5">
        <w:rPr>
          <w:lang w:val="en-GB"/>
        </w:rPr>
        <w:t>rail</w:t>
      </w:r>
      <w:r w:rsidR="00F157E7" w:rsidRPr="00A858D5">
        <w:rPr>
          <w:lang w:val="en-GB"/>
        </w:rPr>
        <w:t>/</w:t>
      </w:r>
      <w:r w:rsidR="00992335" w:rsidRPr="00A858D5">
        <w:rPr>
          <w:lang w:val="en-GB"/>
        </w:rPr>
        <w:t>air)</w:t>
      </w:r>
      <w:r w:rsidR="007D164E" w:rsidRPr="00A858D5">
        <w:rPr>
          <w:lang w:val="en-GB"/>
        </w:rPr>
        <w:t xml:space="preserve"> noise</w:t>
      </w:r>
      <w:r w:rsidR="008F1AAC" w:rsidRPr="00A858D5">
        <w:rPr>
          <w:lang w:val="en-GB"/>
        </w:rPr>
        <w:t xml:space="preserve">. </w:t>
      </w:r>
      <w:r w:rsidR="00367ECE" w:rsidRPr="00A858D5">
        <w:rPr>
          <w:lang w:val="en-GB"/>
        </w:rPr>
        <w:t xml:space="preserve">Noise levels are measured through 17 </w:t>
      </w:r>
      <w:r w:rsidR="00D643A1" w:rsidRPr="00A858D5">
        <w:rPr>
          <w:lang w:val="en-GB"/>
        </w:rPr>
        <w:t xml:space="preserve">permanent </w:t>
      </w:r>
      <w:r w:rsidR="00367ECE" w:rsidRPr="00A858D5">
        <w:rPr>
          <w:lang w:val="en-GB"/>
        </w:rPr>
        <w:t>measurement stations situated in strategical places of the BCR</w:t>
      </w:r>
      <w:r w:rsidR="00AB5D16" w:rsidRPr="00A858D5">
        <w:rPr>
          <w:lang w:val="en-GB"/>
        </w:rPr>
        <w:t>,</w:t>
      </w:r>
      <w:r w:rsidR="00367ECE" w:rsidRPr="00A858D5">
        <w:rPr>
          <w:lang w:val="en-GB"/>
        </w:rPr>
        <w:t xml:space="preserve"> </w:t>
      </w:r>
      <w:r w:rsidR="00FA552C" w:rsidRPr="00A858D5">
        <w:rPr>
          <w:lang w:val="en-GB"/>
        </w:rPr>
        <w:t>registering</w:t>
      </w:r>
      <w:r w:rsidR="00367ECE" w:rsidRPr="00A858D5">
        <w:rPr>
          <w:lang w:val="en-GB"/>
        </w:rPr>
        <w:t xml:space="preserve"> the influence of a single mean</w:t>
      </w:r>
      <w:r w:rsidR="00B36DB4" w:rsidRPr="00A858D5">
        <w:rPr>
          <w:lang w:val="en-GB"/>
        </w:rPr>
        <w:t>s</w:t>
      </w:r>
      <w:r w:rsidR="00367ECE" w:rsidRPr="00A858D5">
        <w:rPr>
          <w:lang w:val="en-GB"/>
        </w:rPr>
        <w:t xml:space="preserve"> of transportation. Additionally, mobile sound level meters </w:t>
      </w:r>
      <w:r w:rsidR="001A3665" w:rsidRPr="00A858D5">
        <w:rPr>
          <w:lang w:val="en-GB"/>
        </w:rPr>
        <w:t>were used to validate the results</w:t>
      </w:r>
      <w:r w:rsidR="00367ECE" w:rsidRPr="00A858D5">
        <w:rPr>
          <w:lang w:val="en-GB"/>
        </w:rPr>
        <w:t xml:space="preserve">. Average noise levels </w:t>
      </w:r>
      <w:r w:rsidR="00297168" w:rsidRPr="00A858D5">
        <w:rPr>
          <w:lang w:val="en-GB"/>
        </w:rPr>
        <w:t xml:space="preserve">were </w:t>
      </w:r>
      <w:r w:rsidR="00367ECE" w:rsidRPr="00A858D5">
        <w:rPr>
          <w:lang w:val="en-GB"/>
        </w:rPr>
        <w:t xml:space="preserve">calculated </w:t>
      </w:r>
      <w:r w:rsidR="005C2829" w:rsidRPr="00A858D5">
        <w:rPr>
          <w:lang w:val="en-GB"/>
        </w:rPr>
        <w:t xml:space="preserve">for four indicators: </w:t>
      </w:r>
      <w:proofErr w:type="spellStart"/>
      <w:r w:rsidR="005C2829" w:rsidRPr="00A858D5">
        <w:rPr>
          <w:lang w:val="en-GB"/>
        </w:rPr>
        <w:t>L</w:t>
      </w:r>
      <w:r w:rsidR="005C2829" w:rsidRPr="00A858D5">
        <w:rPr>
          <w:vertAlign w:val="subscript"/>
          <w:lang w:val="en-GB"/>
        </w:rPr>
        <w:t>d</w:t>
      </w:r>
      <w:r w:rsidR="00311229" w:rsidRPr="00A858D5">
        <w:rPr>
          <w:vertAlign w:val="subscript"/>
          <w:lang w:val="en-GB"/>
        </w:rPr>
        <w:t>ay</w:t>
      </w:r>
      <w:proofErr w:type="spellEnd"/>
      <w:r w:rsidR="005C2829" w:rsidRPr="00A858D5">
        <w:rPr>
          <w:lang w:val="en-GB"/>
        </w:rPr>
        <w:t xml:space="preserve"> </w:t>
      </w:r>
      <w:r w:rsidR="00367ECE" w:rsidRPr="00A858D5">
        <w:rPr>
          <w:lang w:val="en-GB"/>
        </w:rPr>
        <w:t xml:space="preserve">(07h-19h), </w:t>
      </w:r>
      <w:proofErr w:type="spellStart"/>
      <w:r w:rsidR="00311229" w:rsidRPr="00A858D5">
        <w:rPr>
          <w:lang w:val="en-GB"/>
        </w:rPr>
        <w:t>L</w:t>
      </w:r>
      <w:r w:rsidR="00311229" w:rsidRPr="00A858D5">
        <w:rPr>
          <w:vertAlign w:val="subscript"/>
          <w:lang w:val="en-GB"/>
        </w:rPr>
        <w:t>evening</w:t>
      </w:r>
      <w:proofErr w:type="spellEnd"/>
      <w:r w:rsidR="00367ECE" w:rsidRPr="00A858D5">
        <w:rPr>
          <w:lang w:val="en-GB"/>
        </w:rPr>
        <w:t xml:space="preserve"> (19h-23h)</w:t>
      </w:r>
      <w:r w:rsidR="00067882" w:rsidRPr="00A858D5">
        <w:rPr>
          <w:lang w:val="en-GB"/>
        </w:rPr>
        <w:t>,</w:t>
      </w:r>
      <w:r w:rsidR="00367ECE" w:rsidRPr="00A858D5">
        <w:rPr>
          <w:lang w:val="en-GB"/>
        </w:rPr>
        <w:t xml:space="preserve"> </w:t>
      </w:r>
      <w:proofErr w:type="spellStart"/>
      <w:r w:rsidR="00311229" w:rsidRPr="00A858D5">
        <w:rPr>
          <w:lang w:val="en-GB"/>
        </w:rPr>
        <w:t>L</w:t>
      </w:r>
      <w:r w:rsidR="00311229" w:rsidRPr="00A858D5">
        <w:rPr>
          <w:vertAlign w:val="subscript"/>
          <w:lang w:val="en-GB"/>
        </w:rPr>
        <w:t>night</w:t>
      </w:r>
      <w:proofErr w:type="spellEnd"/>
      <w:r w:rsidR="00367ECE" w:rsidRPr="00A858D5">
        <w:rPr>
          <w:lang w:val="en-GB"/>
        </w:rPr>
        <w:t xml:space="preserve"> (23h-07h)</w:t>
      </w:r>
      <w:r w:rsidR="001C3D31" w:rsidRPr="00A858D5">
        <w:rPr>
          <w:lang w:val="en-GB"/>
        </w:rPr>
        <w:t xml:space="preserve"> and</w:t>
      </w:r>
      <w:r w:rsidR="00FA6D32" w:rsidRPr="00A858D5">
        <w:rPr>
          <w:lang w:val="en-GB"/>
        </w:rPr>
        <w:t xml:space="preserve"> </w:t>
      </w:r>
      <w:proofErr w:type="spellStart"/>
      <w:r w:rsidR="00FA6D32" w:rsidRPr="00A858D5">
        <w:rPr>
          <w:lang w:val="en-GB"/>
        </w:rPr>
        <w:t>L</w:t>
      </w:r>
      <w:r w:rsidR="00FA6D32" w:rsidRPr="00A858D5">
        <w:rPr>
          <w:vertAlign w:val="subscript"/>
          <w:lang w:val="en-GB"/>
        </w:rPr>
        <w:t>den</w:t>
      </w:r>
      <w:proofErr w:type="spellEnd"/>
      <w:r w:rsidR="00FA6D32" w:rsidRPr="00A858D5">
        <w:rPr>
          <w:lang w:val="en-GB"/>
        </w:rPr>
        <w:t xml:space="preserve"> (energetic combination of </w:t>
      </w:r>
      <w:proofErr w:type="spellStart"/>
      <w:r w:rsidR="00FA6D32" w:rsidRPr="00A858D5">
        <w:rPr>
          <w:lang w:val="en-GB"/>
        </w:rPr>
        <w:t>L</w:t>
      </w:r>
      <w:r w:rsidR="00FA6D32" w:rsidRPr="00A858D5">
        <w:rPr>
          <w:vertAlign w:val="subscript"/>
          <w:lang w:val="en-GB"/>
        </w:rPr>
        <w:t>day</w:t>
      </w:r>
      <w:proofErr w:type="spellEnd"/>
      <w:r w:rsidR="00FA6D32" w:rsidRPr="00A858D5">
        <w:rPr>
          <w:lang w:val="en-GB"/>
        </w:rPr>
        <w:t xml:space="preserve">, </w:t>
      </w:r>
      <w:proofErr w:type="spellStart"/>
      <w:r w:rsidR="00FA6D32" w:rsidRPr="00A858D5">
        <w:rPr>
          <w:lang w:val="en-GB"/>
        </w:rPr>
        <w:t>L</w:t>
      </w:r>
      <w:r w:rsidR="00FA6D32" w:rsidRPr="00A858D5">
        <w:rPr>
          <w:vertAlign w:val="subscript"/>
          <w:lang w:val="en-GB"/>
        </w:rPr>
        <w:t>evening</w:t>
      </w:r>
      <w:proofErr w:type="spellEnd"/>
      <w:r w:rsidR="00FA6D32" w:rsidRPr="00A858D5">
        <w:rPr>
          <w:lang w:val="en-GB"/>
        </w:rPr>
        <w:t xml:space="preserve"> and </w:t>
      </w:r>
      <w:proofErr w:type="spellStart"/>
      <w:r w:rsidR="00FA6D32" w:rsidRPr="00A858D5">
        <w:rPr>
          <w:lang w:val="en-GB"/>
        </w:rPr>
        <w:t>L</w:t>
      </w:r>
      <w:r w:rsidR="00FA6D32" w:rsidRPr="00A858D5">
        <w:rPr>
          <w:vertAlign w:val="subscript"/>
          <w:lang w:val="en-GB"/>
        </w:rPr>
        <w:t>night</w:t>
      </w:r>
      <w:proofErr w:type="spellEnd"/>
      <w:r w:rsidR="00FA6D32" w:rsidRPr="00A858D5">
        <w:rPr>
          <w:lang w:val="en-GB"/>
        </w:rPr>
        <w:t xml:space="preserve"> </w:t>
      </w:r>
      <w:r w:rsidR="00C4087E" w:rsidRPr="00A858D5">
        <w:rPr>
          <w:lang w:val="en-GB"/>
        </w:rPr>
        <w:t xml:space="preserve">= </w:t>
      </w:r>
      <w:r w:rsidR="00FA6D32" w:rsidRPr="00A858D5">
        <w:rPr>
          <w:lang w:val="en-GB"/>
        </w:rPr>
        <w:t>24 hours)</w:t>
      </w:r>
      <w:r w:rsidR="005759BB" w:rsidRPr="00A858D5">
        <w:rPr>
          <w:lang w:val="en-GB"/>
        </w:rPr>
        <w:t xml:space="preserve">. For the calculation of the </w:t>
      </w:r>
      <w:proofErr w:type="spellStart"/>
      <w:r w:rsidR="005759BB" w:rsidRPr="00A858D5">
        <w:rPr>
          <w:lang w:val="en-GB"/>
        </w:rPr>
        <w:t>L</w:t>
      </w:r>
      <w:r w:rsidR="005759BB" w:rsidRPr="00A858D5">
        <w:rPr>
          <w:vertAlign w:val="subscript"/>
          <w:lang w:val="en-GB"/>
        </w:rPr>
        <w:t>den</w:t>
      </w:r>
      <w:proofErr w:type="spellEnd"/>
      <w:r w:rsidR="005759BB" w:rsidRPr="00A858D5">
        <w:rPr>
          <w:lang w:val="en-GB"/>
        </w:rPr>
        <w:t xml:space="preserve"> global indicator,</w:t>
      </w:r>
      <w:r w:rsidR="001C3D31" w:rsidRPr="00A858D5">
        <w:rPr>
          <w:lang w:val="en-GB"/>
        </w:rPr>
        <w:t xml:space="preserve"> </w:t>
      </w:r>
      <w:proofErr w:type="spellStart"/>
      <w:r w:rsidR="0058293E" w:rsidRPr="00A858D5">
        <w:rPr>
          <w:lang w:val="en-GB"/>
        </w:rPr>
        <w:t>L</w:t>
      </w:r>
      <w:r w:rsidR="0058293E" w:rsidRPr="00A858D5">
        <w:rPr>
          <w:vertAlign w:val="subscript"/>
          <w:lang w:val="en-GB"/>
        </w:rPr>
        <w:t>evening</w:t>
      </w:r>
      <w:proofErr w:type="spellEnd"/>
      <w:r w:rsidR="0058293E" w:rsidRPr="00A858D5">
        <w:rPr>
          <w:lang w:val="en-GB"/>
        </w:rPr>
        <w:t xml:space="preserve"> and </w:t>
      </w:r>
      <w:proofErr w:type="spellStart"/>
      <w:r w:rsidR="0058293E" w:rsidRPr="00A858D5">
        <w:rPr>
          <w:lang w:val="en-GB"/>
        </w:rPr>
        <w:t>L</w:t>
      </w:r>
      <w:r w:rsidR="0058293E" w:rsidRPr="00A858D5">
        <w:rPr>
          <w:vertAlign w:val="subscript"/>
          <w:lang w:val="en-GB"/>
        </w:rPr>
        <w:t>night</w:t>
      </w:r>
      <w:proofErr w:type="spellEnd"/>
      <w:r w:rsidR="0058293E" w:rsidRPr="00A858D5">
        <w:rPr>
          <w:lang w:val="en-GB"/>
        </w:rPr>
        <w:t xml:space="preserve"> </w:t>
      </w:r>
      <w:r w:rsidR="00C4087E" w:rsidRPr="00A858D5">
        <w:rPr>
          <w:lang w:val="en-GB"/>
        </w:rPr>
        <w:t>were</w:t>
      </w:r>
      <w:r w:rsidR="0058293E" w:rsidRPr="00A858D5">
        <w:rPr>
          <w:lang w:val="en-GB"/>
        </w:rPr>
        <w:t xml:space="preserve"> </w:t>
      </w:r>
      <w:r w:rsidR="007A3B08" w:rsidRPr="00A858D5">
        <w:rPr>
          <w:lang w:val="en-GB"/>
        </w:rPr>
        <w:t xml:space="preserve">respectively </w:t>
      </w:r>
      <w:r w:rsidR="0058293E" w:rsidRPr="00A858D5">
        <w:rPr>
          <w:lang w:val="en-GB"/>
        </w:rPr>
        <w:t>rescaled by a 5dB</w:t>
      </w:r>
      <w:r w:rsidR="007A3B08" w:rsidRPr="00A858D5">
        <w:rPr>
          <w:lang w:val="en-GB"/>
        </w:rPr>
        <w:t xml:space="preserve"> and a 10dB increase for the greater nuisance experienced when exposed to noise during those hours</w:t>
      </w:r>
      <w:r w:rsidR="004A44F0" w:rsidRPr="00A858D5">
        <w:rPr>
          <w:lang w:val="en-GB"/>
        </w:rPr>
        <w:t xml:space="preserve"> </w:t>
      </w:r>
      <w:r w:rsidR="00367ECE" w:rsidRPr="00A858D5">
        <w:rPr>
          <w:lang w:val="en-GB"/>
        </w:rPr>
        <w:fldChar w:fldCharType="begin" w:fldLock="1"/>
      </w:r>
      <w:r w:rsidR="00E23660" w:rsidRPr="00A858D5">
        <w:rPr>
          <w:lang w:val="en-GB"/>
        </w:rPr>
        <w:instrText>ADDIN CSL_CITATION {"citationItems":[{"id":"ITEM-1","itemData":{"author":[{"dropping-particle":"","family":"Brussels Environment","given":"","non-dropping-particle":"","parse-names":false,"suffix":""}],"id":"ITEM-1","issued":{"date-parts":[["2018"]]},"publisher-place":"Brussels, Belgium","title":"Quiet.Brussels: Plan de prévention et de lutte contre le bruit et les vibrations en milieu urbain (In English: Quiet.Brussels: Urban Noise and Vibration Prevention and Control Plan)","type":"report"},"uris":["http://www.mendeley.com/documents/?uuid=b8717e14-0d46-4bf1-861b-2b23b321d6a7"]}],"mendeley":{"formattedCitation":"(Brussels Environment, 2018)","plainTextFormattedCitation":"(Brussels Environment, 2018)","previouslyFormattedCitation":"(Brussels Environment, 2018)"},"properties":{"noteIndex":0},"schema":"https://github.com/citation-style-language/schema/raw/master/csl-citation.json"}</w:instrText>
      </w:r>
      <w:r w:rsidR="00367ECE" w:rsidRPr="00A858D5">
        <w:rPr>
          <w:lang w:val="en-GB"/>
        </w:rPr>
        <w:fldChar w:fldCharType="separate"/>
      </w:r>
      <w:r w:rsidR="00F25A32" w:rsidRPr="00A858D5">
        <w:rPr>
          <w:noProof/>
          <w:lang w:val="en-GB"/>
        </w:rPr>
        <w:t>(Brussels Environment, 2018)</w:t>
      </w:r>
      <w:r w:rsidR="00367ECE" w:rsidRPr="00A858D5">
        <w:rPr>
          <w:lang w:val="en-GB"/>
        </w:rPr>
        <w:fldChar w:fldCharType="end"/>
      </w:r>
      <w:r w:rsidR="00367ECE" w:rsidRPr="00A858D5">
        <w:rPr>
          <w:lang w:val="en-GB"/>
        </w:rPr>
        <w:t xml:space="preserve">. </w:t>
      </w:r>
      <w:r w:rsidR="008F1AAC" w:rsidRPr="00A858D5">
        <w:rPr>
          <w:lang w:val="en-GB"/>
        </w:rPr>
        <w:t xml:space="preserve">We used </w:t>
      </w:r>
      <w:r w:rsidR="00566091" w:rsidRPr="00A858D5">
        <w:rPr>
          <w:lang w:val="en-GB"/>
        </w:rPr>
        <w:t>combined</w:t>
      </w:r>
      <w:r w:rsidR="00B2057F" w:rsidRPr="00A858D5">
        <w:rPr>
          <w:lang w:val="en-GB"/>
        </w:rPr>
        <w:t xml:space="preserve"> </w:t>
      </w:r>
      <w:r w:rsidR="00C34F63" w:rsidRPr="00A858D5">
        <w:rPr>
          <w:lang w:val="en-GB"/>
        </w:rPr>
        <w:t xml:space="preserve">daily </w:t>
      </w:r>
      <w:r w:rsidR="008F1AAC" w:rsidRPr="00A858D5">
        <w:rPr>
          <w:lang w:val="en-GB"/>
        </w:rPr>
        <w:t>average</w:t>
      </w:r>
      <w:r w:rsidR="00352A9E" w:rsidRPr="00A858D5">
        <w:rPr>
          <w:lang w:val="en-GB"/>
        </w:rPr>
        <w:t xml:space="preserve"> multi-exposure transportation </w:t>
      </w:r>
      <w:r w:rsidR="008F1AAC" w:rsidRPr="00A858D5">
        <w:rPr>
          <w:lang w:val="en-GB"/>
        </w:rPr>
        <w:t>noise levels (</w:t>
      </w:r>
      <w:proofErr w:type="spellStart"/>
      <w:r w:rsidR="008F1AAC" w:rsidRPr="00A858D5">
        <w:rPr>
          <w:lang w:val="en-GB"/>
        </w:rPr>
        <w:t>L</w:t>
      </w:r>
      <w:r w:rsidR="00566091" w:rsidRPr="00A858D5">
        <w:rPr>
          <w:vertAlign w:val="subscript"/>
          <w:lang w:val="en-GB"/>
        </w:rPr>
        <w:t>de</w:t>
      </w:r>
      <w:r w:rsidR="00395EB5" w:rsidRPr="00A858D5">
        <w:rPr>
          <w:vertAlign w:val="subscript"/>
          <w:lang w:val="en-GB"/>
        </w:rPr>
        <w:t>n</w:t>
      </w:r>
      <w:proofErr w:type="spellEnd"/>
      <w:r w:rsidR="008F1AAC" w:rsidRPr="00A858D5">
        <w:rPr>
          <w:lang w:val="en-GB"/>
        </w:rPr>
        <w:t>) in a decibel scale (dB</w:t>
      </w:r>
      <w:r w:rsidR="00765B09" w:rsidRPr="00A858D5">
        <w:rPr>
          <w:lang w:val="en-GB"/>
        </w:rPr>
        <w:t>(A)</w:t>
      </w:r>
      <w:r w:rsidR="008F1AAC" w:rsidRPr="00A858D5">
        <w:rPr>
          <w:lang w:val="en-GB"/>
        </w:rPr>
        <w:t>).</w:t>
      </w:r>
    </w:p>
    <w:p w14:paraId="24231B03" w14:textId="7449218A" w:rsidR="00723D77" w:rsidRPr="00A858D5" w:rsidRDefault="00723D77" w:rsidP="008B20D9">
      <w:pPr>
        <w:pStyle w:val="Heading2"/>
        <w:rPr>
          <w:lang w:val="en-GB"/>
        </w:rPr>
      </w:pPr>
      <w:r w:rsidRPr="00A858D5">
        <w:rPr>
          <w:lang w:val="en-GB"/>
        </w:rPr>
        <w:t>Statistical analyses</w:t>
      </w:r>
    </w:p>
    <w:p w14:paraId="5F5609F5" w14:textId="2B6C50A0" w:rsidR="00DF66A3" w:rsidRDefault="00D21413" w:rsidP="009D5988">
      <w:pPr>
        <w:rPr>
          <w:lang w:val="en-GB"/>
        </w:rPr>
      </w:pPr>
      <w:r w:rsidRPr="00A858D5">
        <w:rPr>
          <w:lang w:val="en-GB"/>
        </w:rPr>
        <w:t>We conducted all s</w:t>
      </w:r>
      <w:r w:rsidR="003F7119" w:rsidRPr="00A858D5">
        <w:rPr>
          <w:lang w:val="en-GB"/>
        </w:rPr>
        <w:t xml:space="preserve">tatistical analyses in Stata </w:t>
      </w:r>
      <w:r w:rsidR="00036ADC" w:rsidRPr="00A858D5">
        <w:rPr>
          <w:lang w:val="en-GB"/>
        </w:rPr>
        <w:t xml:space="preserve">(version </w:t>
      </w:r>
      <w:r w:rsidR="003F7119" w:rsidRPr="00A858D5">
        <w:rPr>
          <w:lang w:val="en-GB"/>
        </w:rPr>
        <w:t>14</w:t>
      </w:r>
      <w:r w:rsidR="00036ADC" w:rsidRPr="00A858D5">
        <w:rPr>
          <w:lang w:val="en-GB"/>
        </w:rPr>
        <w:t xml:space="preserve">; </w:t>
      </w:r>
      <w:proofErr w:type="spellStart"/>
      <w:r w:rsidR="00036ADC" w:rsidRPr="00A858D5">
        <w:rPr>
          <w:lang w:val="en-GB"/>
        </w:rPr>
        <w:t>StataCorp</w:t>
      </w:r>
      <w:proofErr w:type="spellEnd"/>
      <w:r w:rsidR="00036ADC" w:rsidRPr="00A858D5">
        <w:rPr>
          <w:lang w:val="en-GB"/>
        </w:rPr>
        <w:t>)</w:t>
      </w:r>
      <w:r w:rsidR="003F7119" w:rsidRPr="00A858D5">
        <w:rPr>
          <w:lang w:val="en-GB"/>
        </w:rPr>
        <w:t xml:space="preserve">. </w:t>
      </w:r>
      <w:r w:rsidR="007D5B1D" w:rsidRPr="00A858D5">
        <w:rPr>
          <w:lang w:val="en-GB"/>
        </w:rPr>
        <w:t>M</w:t>
      </w:r>
      <w:r w:rsidR="002163C4" w:rsidRPr="00A858D5">
        <w:rPr>
          <w:lang w:val="en-GB"/>
        </w:rPr>
        <w:t xml:space="preserve">ultilevel </w:t>
      </w:r>
      <w:r w:rsidR="00CA3A58" w:rsidRPr="00A858D5">
        <w:rPr>
          <w:lang w:val="en-GB"/>
        </w:rPr>
        <w:t>l</w:t>
      </w:r>
      <w:r w:rsidR="00546D6E" w:rsidRPr="00A858D5">
        <w:rPr>
          <w:lang w:val="en-GB"/>
        </w:rPr>
        <w:t xml:space="preserve">ogistic regression models </w:t>
      </w:r>
      <w:r w:rsidR="007D5B1D" w:rsidRPr="00A858D5">
        <w:rPr>
          <w:lang w:val="en-GB"/>
        </w:rPr>
        <w:t xml:space="preserve">were performed </w:t>
      </w:r>
      <w:r w:rsidR="00546D6E" w:rsidRPr="00A858D5">
        <w:rPr>
          <w:lang w:val="en-GB"/>
        </w:rPr>
        <w:t>to obtain</w:t>
      </w:r>
      <w:r w:rsidR="007E565C" w:rsidRPr="00A858D5">
        <w:rPr>
          <w:lang w:val="en-GB"/>
        </w:rPr>
        <w:t xml:space="preserve"> odds ratios</w:t>
      </w:r>
      <w:r w:rsidR="00546D6E" w:rsidRPr="00A858D5">
        <w:rPr>
          <w:lang w:val="en-GB"/>
        </w:rPr>
        <w:t xml:space="preserve"> </w:t>
      </w:r>
      <w:r w:rsidR="007E565C" w:rsidRPr="00A858D5">
        <w:rPr>
          <w:lang w:val="en-GB"/>
        </w:rPr>
        <w:t>(</w:t>
      </w:r>
      <w:r w:rsidR="00546D6E" w:rsidRPr="00A858D5">
        <w:rPr>
          <w:lang w:val="en-GB"/>
        </w:rPr>
        <w:t>OR</w:t>
      </w:r>
      <w:r w:rsidR="006F6754" w:rsidRPr="00A858D5">
        <w:rPr>
          <w:lang w:val="en-GB"/>
        </w:rPr>
        <w:t>s</w:t>
      </w:r>
      <w:r w:rsidR="007E565C" w:rsidRPr="00A858D5">
        <w:rPr>
          <w:lang w:val="en-GB"/>
        </w:rPr>
        <w:t>)</w:t>
      </w:r>
      <w:r w:rsidR="00546D6E" w:rsidRPr="00A858D5">
        <w:rPr>
          <w:lang w:val="en-GB"/>
        </w:rPr>
        <w:t xml:space="preserve"> and their 95% confidence intervals (95%CI) </w:t>
      </w:r>
      <w:r w:rsidR="009556C1" w:rsidRPr="00A858D5">
        <w:rPr>
          <w:lang w:val="en-GB"/>
        </w:rPr>
        <w:t>for</w:t>
      </w:r>
      <w:r w:rsidR="00546D6E" w:rsidRPr="00A858D5">
        <w:rPr>
          <w:lang w:val="en-GB"/>
        </w:rPr>
        <w:t xml:space="preserve"> poor self-perceived health. </w:t>
      </w:r>
      <w:r w:rsidR="007D5B1D" w:rsidRPr="00A858D5">
        <w:rPr>
          <w:lang w:val="en-GB"/>
        </w:rPr>
        <w:t xml:space="preserve">Multilevel </w:t>
      </w:r>
      <w:r w:rsidR="00876807" w:rsidRPr="00A858D5">
        <w:rPr>
          <w:lang w:val="en-GB"/>
        </w:rPr>
        <w:t xml:space="preserve">Cox proportional hazards models, </w:t>
      </w:r>
      <w:r w:rsidR="00767415" w:rsidRPr="00A858D5">
        <w:rPr>
          <w:lang w:val="en-GB"/>
        </w:rPr>
        <w:t>using</w:t>
      </w:r>
      <w:r w:rsidR="00876807" w:rsidRPr="00A858D5">
        <w:rPr>
          <w:lang w:val="en-GB"/>
        </w:rPr>
        <w:t xml:space="preserve"> age as the underlying time scale,</w:t>
      </w:r>
      <w:r w:rsidR="00767415" w:rsidRPr="00A858D5">
        <w:rPr>
          <w:lang w:val="en-GB"/>
        </w:rPr>
        <w:t xml:space="preserve"> were conducted</w:t>
      </w:r>
      <w:r w:rsidR="00876807" w:rsidRPr="00A858D5">
        <w:rPr>
          <w:lang w:val="en-GB"/>
        </w:rPr>
        <w:t xml:space="preserve"> to obtain</w:t>
      </w:r>
      <w:r w:rsidR="007E565C" w:rsidRPr="00A858D5">
        <w:rPr>
          <w:lang w:val="en-GB"/>
        </w:rPr>
        <w:t xml:space="preserve"> hazard ratios</w:t>
      </w:r>
      <w:r w:rsidR="00876807" w:rsidRPr="00A858D5">
        <w:rPr>
          <w:lang w:val="en-GB"/>
        </w:rPr>
        <w:t xml:space="preserve"> </w:t>
      </w:r>
      <w:r w:rsidR="007E565C" w:rsidRPr="00A858D5">
        <w:rPr>
          <w:lang w:val="en-GB"/>
        </w:rPr>
        <w:t>(</w:t>
      </w:r>
      <w:r w:rsidR="00876807" w:rsidRPr="00A858D5">
        <w:rPr>
          <w:lang w:val="en-GB"/>
        </w:rPr>
        <w:t>HR</w:t>
      </w:r>
      <w:r w:rsidR="006F6754" w:rsidRPr="00A858D5">
        <w:rPr>
          <w:lang w:val="en-GB"/>
        </w:rPr>
        <w:t>s</w:t>
      </w:r>
      <w:r w:rsidR="007E565C" w:rsidRPr="00A858D5">
        <w:rPr>
          <w:lang w:val="en-GB"/>
        </w:rPr>
        <w:t>)</w:t>
      </w:r>
      <w:r w:rsidR="00876807" w:rsidRPr="00A858D5">
        <w:rPr>
          <w:lang w:val="en-GB"/>
        </w:rPr>
        <w:t xml:space="preserve"> and their 95%</w:t>
      </w:r>
      <w:r w:rsidR="00F77D49" w:rsidRPr="00A858D5">
        <w:rPr>
          <w:lang w:val="en-GB"/>
        </w:rPr>
        <w:t xml:space="preserve"> </w:t>
      </w:r>
      <w:r w:rsidR="00876807" w:rsidRPr="00A858D5">
        <w:rPr>
          <w:lang w:val="en-GB"/>
        </w:rPr>
        <w:t>CI</w:t>
      </w:r>
      <w:r w:rsidR="0083186A" w:rsidRPr="00A858D5">
        <w:rPr>
          <w:lang w:val="en-GB"/>
        </w:rPr>
        <w:t xml:space="preserve"> </w:t>
      </w:r>
      <w:r w:rsidR="009556C1" w:rsidRPr="00A858D5">
        <w:rPr>
          <w:lang w:val="en-GB"/>
        </w:rPr>
        <w:t>for</w:t>
      </w:r>
      <w:r w:rsidR="0083186A" w:rsidRPr="00A858D5">
        <w:rPr>
          <w:lang w:val="en-GB"/>
        </w:rPr>
        <w:t xml:space="preserve"> </w:t>
      </w:r>
      <w:r w:rsidR="0048280F" w:rsidRPr="00A858D5">
        <w:rPr>
          <w:lang w:val="en-GB"/>
        </w:rPr>
        <w:t xml:space="preserve">natural cause </w:t>
      </w:r>
      <w:r w:rsidR="0083186A" w:rsidRPr="00A858D5">
        <w:rPr>
          <w:lang w:val="en-GB"/>
        </w:rPr>
        <w:t>mortality</w:t>
      </w:r>
      <w:r w:rsidR="00876807" w:rsidRPr="00A858D5">
        <w:rPr>
          <w:lang w:val="en-GB"/>
        </w:rPr>
        <w:t>. Observations were censored when emigration</w:t>
      </w:r>
      <w:r w:rsidR="006D65E2" w:rsidRPr="00A858D5">
        <w:rPr>
          <w:lang w:val="en-GB"/>
        </w:rPr>
        <w:t>, death from external causes</w:t>
      </w:r>
      <w:r w:rsidR="006F6754" w:rsidRPr="00A858D5">
        <w:rPr>
          <w:lang w:val="en-GB"/>
        </w:rPr>
        <w:t xml:space="preserve"> </w:t>
      </w:r>
      <w:r w:rsidR="00876807" w:rsidRPr="00A858D5">
        <w:rPr>
          <w:lang w:val="en-GB"/>
        </w:rPr>
        <w:t>or end of follow-up occurred</w:t>
      </w:r>
      <w:r w:rsidR="00491EBD" w:rsidRPr="00A858D5">
        <w:rPr>
          <w:lang w:val="en-GB"/>
        </w:rPr>
        <w:t>, whichever came first</w:t>
      </w:r>
      <w:r w:rsidR="00876807" w:rsidRPr="00A858D5">
        <w:rPr>
          <w:lang w:val="en-GB"/>
        </w:rPr>
        <w:t>.</w:t>
      </w:r>
      <w:r w:rsidR="00B97F34" w:rsidRPr="00A858D5">
        <w:rPr>
          <w:lang w:val="en-GB"/>
        </w:rPr>
        <w:t xml:space="preserve"> </w:t>
      </w:r>
      <w:r w:rsidR="00B42E3C" w:rsidRPr="00A858D5">
        <w:rPr>
          <w:lang w:val="en-GB"/>
        </w:rPr>
        <w:t xml:space="preserve">In our main analyses, we </w:t>
      </w:r>
      <w:r w:rsidR="009556C1" w:rsidRPr="00A858D5">
        <w:rPr>
          <w:lang w:val="en-GB"/>
        </w:rPr>
        <w:t xml:space="preserve">included </w:t>
      </w:r>
      <w:r w:rsidR="00C13DA5" w:rsidRPr="00A858D5">
        <w:rPr>
          <w:lang w:val="en-GB"/>
        </w:rPr>
        <w:t xml:space="preserve">the 300-m </w:t>
      </w:r>
      <w:r w:rsidR="003E4746" w:rsidRPr="00A858D5">
        <w:rPr>
          <w:lang w:val="en-GB"/>
        </w:rPr>
        <w:t>buffer</w:t>
      </w:r>
      <w:r w:rsidR="0055627B" w:rsidRPr="00A858D5">
        <w:rPr>
          <w:lang w:val="en-GB"/>
        </w:rPr>
        <w:t xml:space="preserve"> </w:t>
      </w:r>
      <w:r w:rsidR="00B97F34" w:rsidRPr="00A858D5">
        <w:rPr>
          <w:lang w:val="en-GB"/>
        </w:rPr>
        <w:t>of surrounding greenness</w:t>
      </w:r>
      <w:r w:rsidR="00B42E3C" w:rsidRPr="00A858D5">
        <w:rPr>
          <w:lang w:val="en-GB"/>
        </w:rPr>
        <w:t>,</w:t>
      </w:r>
      <w:r w:rsidR="009556C1" w:rsidRPr="00A858D5">
        <w:rPr>
          <w:lang w:val="en-GB"/>
        </w:rPr>
        <w:t xml:space="preserve"> </w:t>
      </w:r>
      <w:r w:rsidR="001A1B76" w:rsidRPr="00A858D5">
        <w:rPr>
          <w:lang w:val="en-GB"/>
        </w:rPr>
        <w:t>represent</w:t>
      </w:r>
      <w:r w:rsidR="009556C1" w:rsidRPr="00A858D5">
        <w:rPr>
          <w:lang w:val="en-GB"/>
        </w:rPr>
        <w:t>ing</w:t>
      </w:r>
      <w:r w:rsidR="001A1B76" w:rsidRPr="00A858D5">
        <w:rPr>
          <w:lang w:val="en-GB"/>
        </w:rPr>
        <w:t xml:space="preserve"> the </w:t>
      </w:r>
      <w:r w:rsidR="00A106E1" w:rsidRPr="00C0054A">
        <w:rPr>
          <w:lang w:val="en-GB"/>
        </w:rPr>
        <w:t>average walking</w:t>
      </w:r>
      <w:r w:rsidR="001A1B76" w:rsidRPr="00A858D5">
        <w:rPr>
          <w:lang w:val="en-GB"/>
        </w:rPr>
        <w:t xml:space="preserve"> distance that a Brussels resident needs to walk to go to </w:t>
      </w:r>
      <w:r w:rsidR="00A106E1" w:rsidRPr="00C0054A">
        <w:rPr>
          <w:lang w:val="en-GB"/>
        </w:rPr>
        <w:t>any</w:t>
      </w:r>
      <w:r w:rsidR="001A1B76" w:rsidRPr="00A858D5">
        <w:rPr>
          <w:lang w:val="en-GB"/>
        </w:rPr>
        <w:t xml:space="preserve"> public green space</w:t>
      </w:r>
      <w:r w:rsidR="00FD621A" w:rsidRPr="00A858D5">
        <w:rPr>
          <w:lang w:val="en-GB"/>
        </w:rPr>
        <w:t xml:space="preserve"> </w:t>
      </w:r>
      <w:r w:rsidR="00FD621A" w:rsidRPr="00A858D5">
        <w:rPr>
          <w:lang w:val="en-GB"/>
        </w:rPr>
        <w:fldChar w:fldCharType="begin" w:fldLock="1"/>
      </w:r>
      <w:r w:rsidR="0084260D" w:rsidRPr="00A858D5">
        <w:rPr>
          <w:lang w:val="en-GB"/>
        </w:rPr>
        <w:instrText>ADDIN CSL_CITATION {"citationItems":[{"id":"ITEM-1","itemData":{"DOI":"10.1080/17538947.2016.1252434","ISSN":"1753-8947","author":[{"dropping-particle":"","family":"Voorde","given":"Tim","non-dropping-particle":"Van de","parse-names":false,"suffix":""}],"container-title":"International Journal of Digital Earth","id":"ITEM-1","issue":"0","issued":{"date-parts":[["2016"]]},"page":"1-16","publisher":"Taylor &amp; Francis","title":"Spatially explicit urban green indicators for characterizing vegetation cover and public green space proximity : a case study on Brussels , Belgium","type":"article-journal","volume":"0"},"uris":["http://www.mendeley.com/documents/?uuid=1ef4f5cb-d569-4f1e-a270-8f6d503ed6be"]}],"mendeley":{"formattedCitation":"(Van de Voorde, 2016)","plainTextFormattedCitation":"(Van de Voorde, 2016)","previouslyFormattedCitation":"(Van de Voorde, 2016)"},"properties":{"noteIndex":0},"schema":"https://github.com/citation-style-language/schema/raw/master/csl-citation.json"}</w:instrText>
      </w:r>
      <w:r w:rsidR="00FD621A" w:rsidRPr="00A858D5">
        <w:rPr>
          <w:lang w:val="en-GB"/>
        </w:rPr>
        <w:fldChar w:fldCharType="separate"/>
      </w:r>
      <w:r w:rsidR="00D65768" w:rsidRPr="00A858D5">
        <w:rPr>
          <w:noProof/>
          <w:lang w:val="en-GB"/>
        </w:rPr>
        <w:t>(Van de Voorde, 2016)</w:t>
      </w:r>
      <w:r w:rsidR="00FD621A" w:rsidRPr="00A858D5">
        <w:rPr>
          <w:lang w:val="en-GB"/>
        </w:rPr>
        <w:fldChar w:fldCharType="end"/>
      </w:r>
      <w:r w:rsidR="00FD621A" w:rsidRPr="00A858D5">
        <w:rPr>
          <w:lang w:val="en-GB"/>
        </w:rPr>
        <w:t>.</w:t>
      </w:r>
      <w:r w:rsidR="003E4746" w:rsidRPr="00A858D5">
        <w:rPr>
          <w:lang w:val="en-GB"/>
        </w:rPr>
        <w:t xml:space="preserve"> </w:t>
      </w:r>
      <w:r w:rsidR="000A261E" w:rsidRPr="00A858D5">
        <w:rPr>
          <w:lang w:val="en-GB"/>
        </w:rPr>
        <w:t xml:space="preserve">We presented one model for each residential UGS indicator separately. </w:t>
      </w:r>
      <w:r w:rsidR="0049047F" w:rsidRPr="00A858D5">
        <w:rPr>
          <w:lang w:val="en-GB"/>
        </w:rPr>
        <w:t xml:space="preserve">Effect estimates were expressed </w:t>
      </w:r>
      <w:r w:rsidR="00876807" w:rsidRPr="00A858D5">
        <w:rPr>
          <w:lang w:val="en-GB"/>
        </w:rPr>
        <w:t xml:space="preserve">for increases of </w:t>
      </w:r>
      <w:r w:rsidR="000A261E" w:rsidRPr="00A858D5">
        <w:rPr>
          <w:lang w:val="en-GB"/>
        </w:rPr>
        <w:t xml:space="preserve">one </w:t>
      </w:r>
      <w:r w:rsidR="00876807" w:rsidRPr="00A858D5">
        <w:rPr>
          <w:lang w:val="en-GB"/>
        </w:rPr>
        <w:t>interquartile range (IQR)</w:t>
      </w:r>
      <w:r w:rsidR="0049047F" w:rsidRPr="00A858D5">
        <w:rPr>
          <w:lang w:val="en-GB"/>
        </w:rPr>
        <w:t xml:space="preserve"> </w:t>
      </w:r>
      <w:r w:rsidR="000A261E" w:rsidRPr="00A858D5">
        <w:rPr>
          <w:lang w:val="en-GB"/>
        </w:rPr>
        <w:t xml:space="preserve">for </w:t>
      </w:r>
      <w:r w:rsidR="0049047F" w:rsidRPr="00A858D5">
        <w:rPr>
          <w:lang w:val="en-GB"/>
        </w:rPr>
        <w:t xml:space="preserve">the </w:t>
      </w:r>
      <w:r w:rsidR="00A05CF2" w:rsidRPr="00A858D5">
        <w:rPr>
          <w:lang w:val="en-GB"/>
        </w:rPr>
        <w:t xml:space="preserve">two </w:t>
      </w:r>
      <w:r w:rsidR="00CD4780" w:rsidRPr="00A858D5">
        <w:rPr>
          <w:lang w:val="en-GB"/>
        </w:rPr>
        <w:t xml:space="preserve">indicators </w:t>
      </w:r>
      <w:r w:rsidR="0049047F" w:rsidRPr="00A858D5">
        <w:rPr>
          <w:lang w:val="en-GB"/>
        </w:rPr>
        <w:t xml:space="preserve">of </w:t>
      </w:r>
      <w:r w:rsidR="00D955F6" w:rsidRPr="00A858D5">
        <w:rPr>
          <w:lang w:val="en-GB"/>
        </w:rPr>
        <w:t>residential UGS</w:t>
      </w:r>
      <w:r w:rsidR="00876807" w:rsidRPr="00A858D5">
        <w:rPr>
          <w:lang w:val="en-GB"/>
        </w:rPr>
        <w:t xml:space="preserve">. </w:t>
      </w:r>
      <w:r w:rsidR="000A261E" w:rsidRPr="00A858D5">
        <w:rPr>
          <w:lang w:val="en-GB"/>
        </w:rPr>
        <w:t>Our main model was</w:t>
      </w:r>
      <w:r w:rsidR="004B3173" w:rsidRPr="00A858D5">
        <w:rPr>
          <w:lang w:val="en-GB"/>
        </w:rPr>
        <w:t xml:space="preserve"> constructed</w:t>
      </w:r>
      <w:r w:rsidR="00D15592" w:rsidRPr="00A858D5">
        <w:rPr>
          <w:lang w:val="en-GB"/>
        </w:rPr>
        <w:t xml:space="preserve"> stepwise,</w:t>
      </w:r>
      <w:r w:rsidR="000A261E" w:rsidRPr="00A858D5">
        <w:rPr>
          <w:lang w:val="en-GB"/>
        </w:rPr>
        <w:t xml:space="preserve"> </w:t>
      </w:r>
      <w:r w:rsidR="009D2D3E" w:rsidRPr="00A858D5">
        <w:rPr>
          <w:lang w:val="en-GB"/>
        </w:rPr>
        <w:t>including</w:t>
      </w:r>
      <w:r w:rsidR="000A261E" w:rsidRPr="00A858D5">
        <w:rPr>
          <w:lang w:val="en-GB"/>
        </w:rPr>
        <w:t xml:space="preserve"> </w:t>
      </w:r>
      <w:r w:rsidR="002E3438" w:rsidRPr="00A858D5">
        <w:rPr>
          <w:lang w:val="en-GB"/>
        </w:rPr>
        <w:t xml:space="preserve">cumulatively </w:t>
      </w:r>
      <w:r w:rsidR="000A261E" w:rsidRPr="00A858D5">
        <w:rPr>
          <w:lang w:val="en-GB"/>
        </w:rPr>
        <w:t xml:space="preserve">the </w:t>
      </w:r>
      <w:r w:rsidR="00782E9C" w:rsidRPr="00A858D5">
        <w:rPr>
          <w:lang w:val="en-GB"/>
        </w:rPr>
        <w:t>intersectionality dimensions and</w:t>
      </w:r>
      <w:r w:rsidR="000B1D4A" w:rsidRPr="00A858D5">
        <w:rPr>
          <w:lang w:val="en-GB"/>
        </w:rPr>
        <w:t xml:space="preserve"> </w:t>
      </w:r>
      <w:r w:rsidR="007D3BB5" w:rsidRPr="00A858D5">
        <w:rPr>
          <w:lang w:val="en-GB"/>
        </w:rPr>
        <w:t>the potential confounders</w:t>
      </w:r>
      <w:r w:rsidR="00591AFF" w:rsidRPr="00A858D5">
        <w:rPr>
          <w:lang w:val="en-GB"/>
        </w:rPr>
        <w:t xml:space="preserve"> </w:t>
      </w:r>
      <w:r w:rsidR="000E2C50" w:rsidRPr="00A858D5">
        <w:rPr>
          <w:lang w:val="en-GB"/>
        </w:rPr>
        <w:t xml:space="preserve">in </w:t>
      </w:r>
      <w:r w:rsidR="00351CCC" w:rsidRPr="00A858D5">
        <w:rPr>
          <w:lang w:val="en-GB"/>
        </w:rPr>
        <w:t xml:space="preserve">successive </w:t>
      </w:r>
      <w:r w:rsidR="000E2C50" w:rsidRPr="00A858D5">
        <w:rPr>
          <w:lang w:val="en-GB"/>
        </w:rPr>
        <w:t>models</w:t>
      </w:r>
      <w:r w:rsidR="00A72847" w:rsidRPr="00A858D5">
        <w:rPr>
          <w:lang w:val="en-GB"/>
        </w:rPr>
        <w:t>:</w:t>
      </w:r>
      <w:r w:rsidR="00540516" w:rsidRPr="00A858D5">
        <w:rPr>
          <w:lang w:val="en-GB"/>
        </w:rPr>
        <w:t xml:space="preserve"> </w:t>
      </w:r>
      <w:r w:rsidR="000E2C50" w:rsidRPr="00A858D5">
        <w:rPr>
          <w:lang w:val="en-GB"/>
        </w:rPr>
        <w:t>M1 was adjusted by</w:t>
      </w:r>
      <w:r w:rsidR="00876807" w:rsidRPr="00A858D5">
        <w:rPr>
          <w:lang w:val="en-GB"/>
        </w:rPr>
        <w:t xml:space="preserve"> </w:t>
      </w:r>
      <w:r w:rsidR="00472112" w:rsidRPr="00A858D5">
        <w:rPr>
          <w:lang w:val="en-GB"/>
        </w:rPr>
        <w:t>age</w:t>
      </w:r>
      <w:r w:rsidR="00490C18" w:rsidRPr="00A858D5">
        <w:rPr>
          <w:lang w:val="en-GB"/>
        </w:rPr>
        <w:t xml:space="preserve"> and</w:t>
      </w:r>
      <w:r w:rsidR="00472112" w:rsidRPr="00A858D5">
        <w:rPr>
          <w:lang w:val="en-GB"/>
        </w:rPr>
        <w:t xml:space="preserve"> gender</w:t>
      </w:r>
      <w:r w:rsidR="00490C18" w:rsidRPr="00A858D5">
        <w:rPr>
          <w:lang w:val="en-GB"/>
        </w:rPr>
        <w:t>; M2 added</w:t>
      </w:r>
      <w:r w:rsidR="00472112" w:rsidRPr="00A858D5">
        <w:rPr>
          <w:lang w:val="en-GB"/>
        </w:rPr>
        <w:t xml:space="preserve"> migrant background</w:t>
      </w:r>
      <w:r w:rsidR="00490C18" w:rsidRPr="00A858D5">
        <w:rPr>
          <w:lang w:val="en-GB"/>
        </w:rPr>
        <w:t>; M3 added</w:t>
      </w:r>
      <w:r w:rsidR="00472112" w:rsidRPr="00A858D5">
        <w:rPr>
          <w:lang w:val="en-GB"/>
        </w:rPr>
        <w:t xml:space="preserve"> educational attainment, housing tenure</w:t>
      </w:r>
      <w:r w:rsidR="00490C18" w:rsidRPr="00A858D5">
        <w:rPr>
          <w:lang w:val="en-GB"/>
        </w:rPr>
        <w:t xml:space="preserve"> and</w:t>
      </w:r>
      <w:r w:rsidR="00472112" w:rsidRPr="00A858D5">
        <w:rPr>
          <w:lang w:val="en-GB"/>
        </w:rPr>
        <w:t xml:space="preserve"> household </w:t>
      </w:r>
      <w:r w:rsidR="00503509" w:rsidRPr="00A858D5">
        <w:rPr>
          <w:lang w:val="en-GB"/>
        </w:rPr>
        <w:t>living arrangement</w:t>
      </w:r>
      <w:r w:rsidR="00490C18" w:rsidRPr="00A858D5">
        <w:rPr>
          <w:lang w:val="en-GB"/>
        </w:rPr>
        <w:t>; M4 added</w:t>
      </w:r>
      <w:r w:rsidR="00472112" w:rsidRPr="00A858D5">
        <w:rPr>
          <w:lang w:val="en-GB"/>
        </w:rPr>
        <w:t xml:space="preserve"> PM</w:t>
      </w:r>
      <w:r w:rsidR="00472112" w:rsidRPr="00A858D5">
        <w:rPr>
          <w:vertAlign w:val="subscript"/>
          <w:lang w:val="en-GB"/>
        </w:rPr>
        <w:t>2.5</w:t>
      </w:r>
      <w:r w:rsidR="00490C18" w:rsidRPr="00A858D5">
        <w:rPr>
          <w:lang w:val="en-GB"/>
        </w:rPr>
        <w:t xml:space="preserve"> and</w:t>
      </w:r>
      <w:r w:rsidR="00472112" w:rsidRPr="00A858D5">
        <w:rPr>
          <w:lang w:val="en-GB"/>
        </w:rPr>
        <w:t xml:space="preserve"> </w:t>
      </w:r>
      <w:r w:rsidR="00F13EB6" w:rsidRPr="00A858D5">
        <w:rPr>
          <w:lang w:val="en-GB"/>
        </w:rPr>
        <w:t xml:space="preserve">daily average </w:t>
      </w:r>
      <w:r w:rsidR="00472112" w:rsidRPr="00A858D5">
        <w:rPr>
          <w:lang w:val="en-GB"/>
        </w:rPr>
        <w:t>multiple source noise exposure (</w:t>
      </w:r>
      <w:proofErr w:type="spellStart"/>
      <w:r w:rsidR="00472112" w:rsidRPr="00A858D5">
        <w:rPr>
          <w:lang w:val="en-GB"/>
        </w:rPr>
        <w:t>L</w:t>
      </w:r>
      <w:r w:rsidR="00F13EB6" w:rsidRPr="00A858D5">
        <w:rPr>
          <w:vertAlign w:val="subscript"/>
          <w:lang w:val="en-GB"/>
        </w:rPr>
        <w:t>den</w:t>
      </w:r>
      <w:proofErr w:type="spellEnd"/>
      <w:r w:rsidR="00472112" w:rsidRPr="00A858D5">
        <w:rPr>
          <w:lang w:val="en-GB"/>
        </w:rPr>
        <w:t>)</w:t>
      </w:r>
      <w:r w:rsidR="00490C18" w:rsidRPr="00A858D5">
        <w:rPr>
          <w:lang w:val="en-GB"/>
        </w:rPr>
        <w:t>;</w:t>
      </w:r>
      <w:r w:rsidR="00472112" w:rsidRPr="00A858D5">
        <w:rPr>
          <w:lang w:val="en-GB"/>
        </w:rPr>
        <w:t xml:space="preserve"> and</w:t>
      </w:r>
      <w:r w:rsidR="00490C18" w:rsidRPr="00A858D5">
        <w:rPr>
          <w:lang w:val="en-GB"/>
        </w:rPr>
        <w:t xml:space="preserve"> M5</w:t>
      </w:r>
      <w:r w:rsidR="00540516" w:rsidRPr="00A858D5">
        <w:rPr>
          <w:lang w:val="en-GB"/>
        </w:rPr>
        <w:t xml:space="preserve"> added</w:t>
      </w:r>
      <w:r w:rsidR="00472112" w:rsidRPr="00A858D5">
        <w:rPr>
          <w:lang w:val="en-GB"/>
        </w:rPr>
        <w:t xml:space="preserve"> area-level SE</w:t>
      </w:r>
      <w:r w:rsidR="007866A9" w:rsidRPr="00A858D5">
        <w:rPr>
          <w:lang w:val="en-GB"/>
        </w:rPr>
        <w:t>P</w:t>
      </w:r>
      <w:r w:rsidR="000A261E" w:rsidRPr="00A858D5">
        <w:rPr>
          <w:lang w:val="en-GB"/>
        </w:rPr>
        <w:t>.</w:t>
      </w:r>
    </w:p>
    <w:p w14:paraId="5296C28A" w14:textId="29CFBE4A" w:rsidR="00961716" w:rsidRPr="00C0054A" w:rsidRDefault="00961716" w:rsidP="006D4A5C">
      <w:pPr>
        <w:spacing w:after="120"/>
        <w:rPr>
          <w:lang w:val="en-GB"/>
        </w:rPr>
      </w:pPr>
      <w:r w:rsidRPr="00C0054A">
        <w:rPr>
          <w:lang w:val="en-GB"/>
        </w:rPr>
        <w:t xml:space="preserve">We tested for the linearity of the exposure-response associations by comparing our main model, including the linear term of the exposure, with a model where natural splines with two degrees of freedom were specified for the UGS indicators (Figure 1). Model comparison was performed using the likelihood-ratio test (LRT). We observed a </w:t>
      </w:r>
      <w:r w:rsidR="00811CA5" w:rsidRPr="00C0054A">
        <w:rPr>
          <w:lang w:val="en-GB"/>
        </w:rPr>
        <w:t xml:space="preserve">significant </w:t>
      </w:r>
      <w:r w:rsidRPr="00C0054A">
        <w:rPr>
          <w:lang w:val="en-GB"/>
        </w:rPr>
        <w:t>deviation from linearity in the models estimating the association between surrounding greenness and poor self-perceived health and between perceived neighbourhood greenness and natural cause mortality. For these two cases, we repeated the analyses for the main models categorising the continuous indicators of UGS into quintiles of exposure (Table S3).</w:t>
      </w:r>
    </w:p>
    <w:p w14:paraId="07A23B71" w14:textId="4134BA54" w:rsidR="000F2947" w:rsidRPr="00C0054A" w:rsidRDefault="0086484C" w:rsidP="00535D0A">
      <w:pPr>
        <w:rPr>
          <w:szCs w:val="22"/>
          <w:lang w:val="en-GB"/>
        </w:rPr>
      </w:pPr>
      <w:r w:rsidRPr="00A858D5">
        <w:rPr>
          <w:lang w:val="en-GB"/>
        </w:rPr>
        <w:lastRenderedPageBreak/>
        <w:t xml:space="preserve">Intersectionality was studied </w:t>
      </w:r>
      <w:r w:rsidR="00A81CB3" w:rsidRPr="00A858D5">
        <w:rPr>
          <w:lang w:val="en-GB"/>
        </w:rPr>
        <w:t>using a gradual approach</w:t>
      </w:r>
      <w:r w:rsidR="008E748E" w:rsidRPr="00A858D5">
        <w:rPr>
          <w:lang w:val="en-GB"/>
        </w:rPr>
        <w:t>. First, each</w:t>
      </w:r>
      <w:r w:rsidR="00EC187C" w:rsidRPr="00A858D5">
        <w:rPr>
          <w:lang w:val="en-GB"/>
        </w:rPr>
        <w:t xml:space="preserve"> </w:t>
      </w:r>
      <w:r w:rsidR="008E748E" w:rsidRPr="00A858D5">
        <w:rPr>
          <w:lang w:val="en-GB"/>
        </w:rPr>
        <w:t>social stratification variable</w:t>
      </w:r>
      <w:r w:rsidR="00AB6CBE" w:rsidRPr="00A858D5">
        <w:rPr>
          <w:lang w:val="en-GB"/>
        </w:rPr>
        <w:t xml:space="preserve"> (gender, educational attainment</w:t>
      </w:r>
      <w:r w:rsidR="002876CD" w:rsidRPr="00A858D5">
        <w:rPr>
          <w:lang w:val="en-GB"/>
        </w:rPr>
        <w:t xml:space="preserve"> and </w:t>
      </w:r>
      <w:r w:rsidR="00AB6CBE" w:rsidRPr="00A858D5">
        <w:rPr>
          <w:lang w:val="en-GB"/>
        </w:rPr>
        <w:t>migrant background)</w:t>
      </w:r>
      <w:r w:rsidR="008E748E" w:rsidRPr="00A858D5">
        <w:rPr>
          <w:lang w:val="en-GB"/>
        </w:rPr>
        <w:t xml:space="preserve"> was introduced as a</w:t>
      </w:r>
      <w:r w:rsidR="00802904" w:rsidRPr="00A858D5">
        <w:rPr>
          <w:lang w:val="en-GB"/>
        </w:rPr>
        <w:t xml:space="preserve"> mul</w:t>
      </w:r>
      <w:r w:rsidR="00D51CBB" w:rsidRPr="00A858D5">
        <w:rPr>
          <w:lang w:val="en-GB"/>
        </w:rPr>
        <w:t>tiplicative</w:t>
      </w:r>
      <w:r w:rsidR="008E748E" w:rsidRPr="00A858D5">
        <w:rPr>
          <w:lang w:val="en-GB"/>
        </w:rPr>
        <w:t xml:space="preserve"> interaction term for the association between UGS and the outcomes separately</w:t>
      </w:r>
      <w:r w:rsidR="00031CB1" w:rsidRPr="00A858D5">
        <w:rPr>
          <w:lang w:val="en-GB"/>
        </w:rPr>
        <w:t>.</w:t>
      </w:r>
      <w:r w:rsidR="008E748E" w:rsidRPr="00A858D5">
        <w:rPr>
          <w:lang w:val="en-GB"/>
        </w:rPr>
        <w:t xml:space="preserve"> </w:t>
      </w:r>
      <w:r w:rsidR="00940B10" w:rsidRPr="00A858D5">
        <w:rPr>
          <w:lang w:val="en-GB"/>
        </w:rPr>
        <w:t xml:space="preserve">The </w:t>
      </w:r>
      <w:r w:rsidR="006808E3" w:rsidRPr="00A858D5">
        <w:rPr>
          <w:lang w:val="en-GB"/>
        </w:rPr>
        <w:t xml:space="preserve">statistical </w:t>
      </w:r>
      <w:r w:rsidR="00940B10" w:rsidRPr="00A858D5">
        <w:rPr>
          <w:lang w:val="en-GB"/>
        </w:rPr>
        <w:t>significance</w:t>
      </w:r>
      <w:r w:rsidR="006808E3" w:rsidRPr="00A858D5">
        <w:rPr>
          <w:lang w:val="en-GB"/>
        </w:rPr>
        <w:t xml:space="preserve"> of the </w:t>
      </w:r>
      <w:r w:rsidR="00671FA7" w:rsidRPr="00A858D5">
        <w:rPr>
          <w:lang w:val="en-GB"/>
        </w:rPr>
        <w:t>multiplicative interaction term was tested</w:t>
      </w:r>
      <w:r w:rsidR="00940B10" w:rsidRPr="00A858D5">
        <w:rPr>
          <w:lang w:val="en-GB"/>
        </w:rPr>
        <w:t xml:space="preserve"> </w:t>
      </w:r>
      <w:r w:rsidR="00671FA7" w:rsidRPr="00A858D5">
        <w:rPr>
          <w:lang w:val="en-GB"/>
        </w:rPr>
        <w:t xml:space="preserve">through the improvement </w:t>
      </w:r>
      <w:r w:rsidR="008E748E" w:rsidRPr="00A858D5">
        <w:rPr>
          <w:lang w:val="en-GB"/>
        </w:rPr>
        <w:t>of model fit compared to the main effects model using</w:t>
      </w:r>
      <w:r w:rsidR="00BC30E5" w:rsidRPr="00A858D5">
        <w:rPr>
          <w:lang w:val="en-GB"/>
        </w:rPr>
        <w:t xml:space="preserve"> a</w:t>
      </w:r>
      <w:r w:rsidR="008E748E" w:rsidRPr="00A858D5">
        <w:rPr>
          <w:lang w:val="en-GB"/>
        </w:rPr>
        <w:t xml:space="preserve"> likelihood ratio test</w:t>
      </w:r>
      <w:r w:rsidR="00671FA7" w:rsidRPr="00A858D5">
        <w:rPr>
          <w:lang w:val="en-GB"/>
        </w:rPr>
        <w:t xml:space="preserve">, </w:t>
      </w:r>
      <w:r w:rsidR="008874D3" w:rsidRPr="00A858D5">
        <w:rPr>
          <w:lang w:val="en-GB"/>
        </w:rPr>
        <w:t xml:space="preserve">following the methodology </w:t>
      </w:r>
      <w:r w:rsidR="00C927FE" w:rsidRPr="00A858D5">
        <w:rPr>
          <w:lang w:val="en-GB"/>
        </w:rPr>
        <w:t>used in</w:t>
      </w:r>
      <w:r w:rsidR="008874D3" w:rsidRPr="00A858D5">
        <w:rPr>
          <w:lang w:val="en-GB"/>
        </w:rPr>
        <w:t xml:space="preserve"> </w:t>
      </w:r>
      <w:r w:rsidR="00BA3D63" w:rsidRPr="00A858D5">
        <w:rPr>
          <w:lang w:val="en-GB"/>
        </w:rPr>
        <w:t xml:space="preserve">a </w:t>
      </w:r>
      <w:r w:rsidR="008874D3" w:rsidRPr="00A858D5">
        <w:rPr>
          <w:lang w:val="en-GB"/>
        </w:rPr>
        <w:t>previous stud</w:t>
      </w:r>
      <w:r w:rsidR="00BA3D63" w:rsidRPr="00A858D5">
        <w:rPr>
          <w:lang w:val="en-GB"/>
        </w:rPr>
        <w:t>y</w:t>
      </w:r>
      <w:r w:rsidR="008874D3" w:rsidRPr="00A858D5">
        <w:rPr>
          <w:lang w:val="en-GB"/>
        </w:rPr>
        <w:t xml:space="preserve"> </w:t>
      </w:r>
      <w:r w:rsidR="008874D3" w:rsidRPr="00A858D5">
        <w:rPr>
          <w:lang w:val="en-GB"/>
        </w:rPr>
        <w:fldChar w:fldCharType="begin" w:fldLock="1"/>
      </w:r>
      <w:r w:rsidR="00452D47">
        <w:rPr>
          <w:lang w:val="en-GB"/>
        </w:rPr>
        <w:instrText>ADDIN CSL_CITATION {"citationItems":[{"id":"ITEM-1","itemData":{"DOI":"10.1016/j.envint.2014.06.010","author":[{"dropping-particle":"","family":"Dadvand","given":"Payam","non-dropping-particle":"","parse-names":false,"suffix":""},{"dropping-particle":"","family":"Wright","given":"John","non-dropping-particle":"","parse-names":false,"suffix":""},{"dropping-particle":"","family":"Martinez","given":"David","non-dropping-particle":"","parse-names":false,"suffix":""},{"dropping-particle":"","family":"Basagaña","given":"Xavier","non-dropping-particle":"","parse-names":false,"suffix":""},{"dropping-particle":"","family":"Mceachan","given":"Rosemary R C","non-dropping-particle":"","parse-names":false,"suffix":""},{"dropping-particle":"","family":"Cirach","given":"Marta","non-dropping-particle":"","parse-names":false,"suffix":""},{"dropping-particle":"","family":"Gidlow","given":"Christopher J","non-dropping-particle":"","parse-names":false,"suffix":""},{"dropping-particle":"De","family":"Hoogh","given":"Kees","non-dropping-particle":"","parse-names":false,"suffix":""},{"dropping-particle":"","family":"Gra","given":"Regina","non-dropping-particle":"","parse-names":false,"suffix":""},{"dropping-particle":"","family":"Nieuwenhuijsen","given":"Mark J","non-dropping-particle":"","parse-names":false,"suffix":""}],"container-title":"Environment International","id":"ITEM-1","issued":{"date-parts":[["2014"]]},"page":"101-108","title":"Inequality, green spaces, and pregnant women: Roles of ethnicity and individual and neighbourhood socioeconomic status","type":"article-journal","volume":"71"},"uris":["http://www.mendeley.com/documents/?uuid=4344ce01-3d4d-44c8-962e-4e7e5203884a"]}],"mendeley":{"formattedCitation":"(Dadvand et al., 2014)","plainTextFormattedCitation":"(Dadvand et al., 2014)","previouslyFormattedCitation":"(Dadvand et al., 2014)"},"properties":{"noteIndex":0},"schema":"https://github.com/citation-style-language/schema/raw/master/csl-citation.json"}</w:instrText>
      </w:r>
      <w:r w:rsidR="008874D3" w:rsidRPr="00A858D5">
        <w:rPr>
          <w:lang w:val="en-GB"/>
        </w:rPr>
        <w:fldChar w:fldCharType="separate"/>
      </w:r>
      <w:r w:rsidR="009F0D48" w:rsidRPr="00113E16">
        <w:rPr>
          <w:noProof/>
          <w:lang w:val="en-GB"/>
        </w:rPr>
        <w:t>(Dadvand et al., 2014)</w:t>
      </w:r>
      <w:r w:rsidR="008874D3" w:rsidRPr="00A858D5">
        <w:rPr>
          <w:lang w:val="en-GB"/>
        </w:rPr>
        <w:fldChar w:fldCharType="end"/>
      </w:r>
      <w:r w:rsidR="008E748E" w:rsidRPr="00A858D5">
        <w:rPr>
          <w:lang w:val="en-GB"/>
        </w:rPr>
        <w:t xml:space="preserve">. </w:t>
      </w:r>
      <w:r w:rsidR="00192A6C" w:rsidRPr="00A858D5">
        <w:rPr>
          <w:lang w:val="en-GB"/>
        </w:rPr>
        <w:t xml:space="preserve">This likelihood ratio test can be considered </w:t>
      </w:r>
      <w:r w:rsidR="007744D2" w:rsidRPr="00A858D5">
        <w:rPr>
          <w:lang w:val="en-GB"/>
        </w:rPr>
        <w:t xml:space="preserve">as </w:t>
      </w:r>
      <w:r w:rsidR="00192A6C" w:rsidRPr="00A858D5">
        <w:rPr>
          <w:lang w:val="en-GB"/>
        </w:rPr>
        <w:t>a formal test of the statistical significance of the effect modification caused by socio</w:t>
      </w:r>
      <w:r w:rsidR="00200540" w:rsidRPr="00A858D5">
        <w:rPr>
          <w:lang w:val="en-GB"/>
        </w:rPr>
        <w:t xml:space="preserve">economic and </w:t>
      </w:r>
      <w:r w:rsidR="00192A6C" w:rsidRPr="00A858D5">
        <w:rPr>
          <w:lang w:val="en-GB"/>
        </w:rPr>
        <w:t xml:space="preserve">demographic characteristics. </w:t>
      </w:r>
      <w:r w:rsidR="000F2947" w:rsidRPr="00A858D5">
        <w:rPr>
          <w:lang w:val="en-GB"/>
        </w:rPr>
        <w:t xml:space="preserve">In </w:t>
      </w:r>
      <w:r w:rsidR="00567780" w:rsidRPr="00A858D5">
        <w:rPr>
          <w:lang w:val="en-GB"/>
        </w:rPr>
        <w:t>addition,</w:t>
      </w:r>
      <w:r w:rsidR="000F2947" w:rsidRPr="00A858D5">
        <w:rPr>
          <w:lang w:val="en-GB"/>
        </w:rPr>
        <w:t xml:space="preserve"> </w:t>
      </w:r>
      <w:r w:rsidR="00C927FE" w:rsidRPr="00A858D5">
        <w:rPr>
          <w:lang w:val="en-GB"/>
        </w:rPr>
        <w:t>analyses were stratified</w:t>
      </w:r>
      <w:r w:rsidR="000F2947" w:rsidRPr="00A858D5">
        <w:rPr>
          <w:lang w:val="en-GB"/>
        </w:rPr>
        <w:t>. Then</w:t>
      </w:r>
      <w:r w:rsidR="008E748E" w:rsidRPr="00A858D5">
        <w:rPr>
          <w:lang w:val="en-GB"/>
        </w:rPr>
        <w:t xml:space="preserve">, </w:t>
      </w:r>
      <w:r w:rsidR="004F106A" w:rsidRPr="00A858D5">
        <w:rPr>
          <w:lang w:val="en-GB"/>
        </w:rPr>
        <w:t xml:space="preserve">the statistical significance of the </w:t>
      </w:r>
      <w:r w:rsidR="008E748E" w:rsidRPr="00A858D5">
        <w:rPr>
          <w:lang w:val="en-GB"/>
        </w:rPr>
        <w:t>s</w:t>
      </w:r>
      <w:r w:rsidR="007A7FE9" w:rsidRPr="00A858D5">
        <w:rPr>
          <w:lang w:val="en-GB"/>
        </w:rPr>
        <w:t>econd-grade</w:t>
      </w:r>
      <w:r w:rsidR="00FA248E" w:rsidRPr="00A858D5">
        <w:rPr>
          <w:lang w:val="en-GB"/>
        </w:rPr>
        <w:t xml:space="preserve"> </w:t>
      </w:r>
      <w:r w:rsidR="002D6A94" w:rsidRPr="00A858D5">
        <w:rPr>
          <w:lang w:val="en-GB"/>
        </w:rPr>
        <w:t xml:space="preserve">interaction terms </w:t>
      </w:r>
      <w:r w:rsidR="004F106A" w:rsidRPr="00A858D5">
        <w:rPr>
          <w:lang w:val="en-GB"/>
        </w:rPr>
        <w:t xml:space="preserve">was </w:t>
      </w:r>
      <w:r w:rsidR="000F2947" w:rsidRPr="00A858D5">
        <w:rPr>
          <w:lang w:val="en-GB"/>
        </w:rPr>
        <w:t xml:space="preserve">estimated </w:t>
      </w:r>
      <w:r w:rsidR="00DA120D" w:rsidRPr="00A858D5">
        <w:rPr>
          <w:lang w:val="en-GB"/>
        </w:rPr>
        <w:t xml:space="preserve">with the same method </w:t>
      </w:r>
      <w:r w:rsidR="001227AE" w:rsidRPr="00A858D5">
        <w:rPr>
          <w:lang w:val="en-GB"/>
        </w:rPr>
        <w:t xml:space="preserve">in order to assess </w:t>
      </w:r>
      <w:r w:rsidR="00635E33" w:rsidRPr="00A858D5">
        <w:rPr>
          <w:lang w:val="en-GB"/>
        </w:rPr>
        <w:t>intersection</w:t>
      </w:r>
      <w:r w:rsidR="008E748E" w:rsidRPr="00A858D5">
        <w:rPr>
          <w:lang w:val="en-GB"/>
        </w:rPr>
        <w:t xml:space="preserve">ality effects </w:t>
      </w:r>
      <w:r w:rsidR="00514FA5" w:rsidRPr="00A858D5">
        <w:rPr>
          <w:lang w:val="en-GB"/>
        </w:rPr>
        <w:t xml:space="preserve">between </w:t>
      </w:r>
      <w:r w:rsidR="000E1B58" w:rsidRPr="00A858D5">
        <w:rPr>
          <w:lang w:val="en-GB"/>
        </w:rPr>
        <w:t xml:space="preserve">gender </w:t>
      </w:r>
      <w:r w:rsidR="00514FA5" w:rsidRPr="00A858D5">
        <w:rPr>
          <w:lang w:val="en-GB"/>
        </w:rPr>
        <w:t>and</w:t>
      </w:r>
      <w:r w:rsidR="000E1B58" w:rsidRPr="00A858D5">
        <w:rPr>
          <w:lang w:val="en-GB"/>
        </w:rPr>
        <w:t xml:space="preserve"> </w:t>
      </w:r>
      <w:r w:rsidR="00514FA5" w:rsidRPr="00A858D5">
        <w:rPr>
          <w:lang w:val="en-GB"/>
        </w:rPr>
        <w:t xml:space="preserve">each of </w:t>
      </w:r>
      <w:r w:rsidR="000E1B58" w:rsidRPr="00A858D5">
        <w:rPr>
          <w:lang w:val="en-GB"/>
        </w:rPr>
        <w:t xml:space="preserve">the other </w:t>
      </w:r>
      <w:r w:rsidR="00D14676" w:rsidRPr="00A858D5">
        <w:rPr>
          <w:lang w:val="en-GB"/>
        </w:rPr>
        <w:t xml:space="preserve">two </w:t>
      </w:r>
      <w:r w:rsidR="000F2947" w:rsidRPr="00A858D5">
        <w:rPr>
          <w:lang w:val="en-GB"/>
        </w:rPr>
        <w:t>social</w:t>
      </w:r>
      <w:r w:rsidR="008E748E" w:rsidRPr="00A858D5">
        <w:rPr>
          <w:lang w:val="en-GB"/>
        </w:rPr>
        <w:t xml:space="preserve"> </w:t>
      </w:r>
      <w:r w:rsidR="00D14676" w:rsidRPr="00A858D5">
        <w:rPr>
          <w:lang w:val="en-GB"/>
        </w:rPr>
        <w:t>dimensions.</w:t>
      </w:r>
      <w:r w:rsidR="00CB164A" w:rsidRPr="00A858D5">
        <w:rPr>
          <w:lang w:val="en-GB"/>
        </w:rPr>
        <w:t xml:space="preserve"> </w:t>
      </w:r>
      <w:r w:rsidR="00164D09" w:rsidRPr="00A858D5">
        <w:rPr>
          <w:lang w:val="en-GB"/>
        </w:rPr>
        <w:t xml:space="preserve">Likewise, </w:t>
      </w:r>
      <w:r w:rsidR="008E748E" w:rsidRPr="00A858D5">
        <w:rPr>
          <w:lang w:val="en-GB"/>
        </w:rPr>
        <w:t>these combinations</w:t>
      </w:r>
      <w:r w:rsidR="00723A83" w:rsidRPr="00A858D5">
        <w:rPr>
          <w:lang w:val="en-GB"/>
        </w:rPr>
        <w:t xml:space="preserve"> </w:t>
      </w:r>
      <w:r w:rsidR="009A4AA3" w:rsidRPr="00A858D5">
        <w:rPr>
          <w:lang w:val="en-GB"/>
        </w:rPr>
        <w:t xml:space="preserve">were </w:t>
      </w:r>
      <w:r w:rsidR="00723A83" w:rsidRPr="00A858D5">
        <w:rPr>
          <w:lang w:val="en-GB"/>
        </w:rPr>
        <w:t xml:space="preserve">then </w:t>
      </w:r>
      <w:r w:rsidR="009A4AA3" w:rsidRPr="00A858D5">
        <w:rPr>
          <w:lang w:val="en-GB"/>
        </w:rPr>
        <w:t>stratified</w:t>
      </w:r>
      <w:r w:rsidR="00196453" w:rsidRPr="00A858D5">
        <w:rPr>
          <w:lang w:val="en-GB"/>
        </w:rPr>
        <w:t>.</w:t>
      </w:r>
      <w:r w:rsidR="000F2947" w:rsidRPr="00A858D5">
        <w:rPr>
          <w:lang w:val="en-GB"/>
        </w:rPr>
        <w:t xml:space="preserve"> Thirdly, this process was</w:t>
      </w:r>
      <w:r w:rsidR="00635E33" w:rsidRPr="00A858D5">
        <w:rPr>
          <w:lang w:val="en-GB"/>
        </w:rPr>
        <w:t xml:space="preserve"> repeated </w:t>
      </w:r>
      <w:r w:rsidR="001C6C41" w:rsidRPr="00A858D5">
        <w:rPr>
          <w:lang w:val="en-GB"/>
        </w:rPr>
        <w:t xml:space="preserve">for the third-grade </w:t>
      </w:r>
      <w:r w:rsidR="00E55FDA" w:rsidRPr="00A858D5">
        <w:rPr>
          <w:lang w:val="en-GB"/>
        </w:rPr>
        <w:t>interaction terms</w:t>
      </w:r>
      <w:r w:rsidR="002F05E0" w:rsidRPr="00A858D5">
        <w:rPr>
          <w:lang w:val="en-GB"/>
        </w:rPr>
        <w:t>,</w:t>
      </w:r>
      <w:r w:rsidR="000321C3" w:rsidRPr="00A858D5">
        <w:rPr>
          <w:lang w:val="en-GB"/>
        </w:rPr>
        <w:t xml:space="preserve"> </w:t>
      </w:r>
      <w:r w:rsidR="00453E8A" w:rsidRPr="00A858D5">
        <w:rPr>
          <w:lang w:val="en-GB"/>
        </w:rPr>
        <w:t>analyses being</w:t>
      </w:r>
      <w:r w:rsidR="000321C3" w:rsidRPr="00A858D5">
        <w:rPr>
          <w:lang w:val="en-GB"/>
        </w:rPr>
        <w:t xml:space="preserve"> finally </w:t>
      </w:r>
      <w:r w:rsidR="009E1936" w:rsidRPr="00A858D5">
        <w:rPr>
          <w:lang w:val="en-GB"/>
        </w:rPr>
        <w:t>stratified</w:t>
      </w:r>
      <w:r w:rsidR="0046496A" w:rsidRPr="00A858D5">
        <w:rPr>
          <w:lang w:val="en-GB"/>
        </w:rPr>
        <w:t xml:space="preserve"> by gender, </w:t>
      </w:r>
      <w:r w:rsidR="00B92D4F" w:rsidRPr="00A858D5">
        <w:rPr>
          <w:lang w:val="en-GB"/>
        </w:rPr>
        <w:t xml:space="preserve">educational attainment </w:t>
      </w:r>
      <w:r w:rsidR="0046496A" w:rsidRPr="00A858D5">
        <w:rPr>
          <w:lang w:val="en-GB"/>
        </w:rPr>
        <w:t>and migrant background</w:t>
      </w:r>
      <w:r w:rsidR="00095393" w:rsidRPr="00A858D5">
        <w:rPr>
          <w:lang w:val="en-GB"/>
        </w:rPr>
        <w:t xml:space="preserve"> simultaneously</w:t>
      </w:r>
      <w:r w:rsidR="00066468" w:rsidRPr="00A858D5">
        <w:rPr>
          <w:lang w:val="en-GB"/>
        </w:rPr>
        <w:t>.</w:t>
      </w:r>
      <w:r w:rsidR="006D4A5C" w:rsidRPr="006D4A5C">
        <w:rPr>
          <w:i/>
          <w:iCs/>
          <w:szCs w:val="22"/>
          <w:lang w:val="en-GB"/>
        </w:rPr>
        <w:t xml:space="preserve"> </w:t>
      </w:r>
      <w:r w:rsidR="0030341E" w:rsidRPr="00C0054A">
        <w:rPr>
          <w:szCs w:val="22"/>
          <w:lang w:val="en-GB"/>
        </w:rPr>
        <w:t xml:space="preserve">The combination of this gradual approach and the evaluation of interaction effects before conducting stratification allowed us to explore in a parsimonious way effect modification through intersecting social dimensions. Aforementioned approach allows step by step assessment of between-group heterogeneity in the association between UGS and health </w:t>
      </w:r>
      <w:r w:rsidR="0030341E" w:rsidRPr="00C0054A">
        <w:rPr>
          <w:szCs w:val="22"/>
          <w:lang w:val="en-GB"/>
        </w:rPr>
        <w:fldChar w:fldCharType="begin" w:fldLock="1"/>
      </w:r>
      <w:r w:rsidR="0030341E" w:rsidRPr="00C0054A">
        <w:rPr>
          <w:szCs w:val="22"/>
          <w:lang w:val="en-GB"/>
        </w:rPr>
        <w:instrText>ADDIN CSL_CITATION {"citationItems":[{"id":"ITEM-1","itemData":{"DOI":"10.1080/13645579.2016.1201328","ISSN":"1364-5579","author":[{"dropping-particle":"","family":"Scott","given":"Nicholas A","non-dropping-particle":"","parse-names":false,"suffix":""},{"dropping-particle":"","family":"Siltanen","given":"Janet","non-dropping-particle":"","parse-names":false,"suffix":""}],"container-title":"International Journal of Social Research Methodology","id":"ITEM-1","issue":"4","issued":{"date-parts":[["2017","7","4"]]},"note":"doi: 10.1080/13645579.2016.1201328","page":"373-385","publisher":"Routledge","title":"Intersectionality and quantitative methods: assessing regression from a feminist perspective","type":"article-journal","volume":"20"},"uris":["http://www.mendeley.com/documents/?uuid=1629a916-5a6d-4838-9491-6e825a7e4bb9"]}],"mendeley":{"formattedCitation":"(Scott and Siltanen, 2017)","plainTextFormattedCitation":"(Scott and Siltanen, 2017)","previouslyFormattedCitation":"(Scott and Siltanen, 2017)"},"properties":{"noteIndex":0},"schema":"https://github.com/citation-style-language/schema/raw/master/csl-citation.json"}</w:instrText>
      </w:r>
      <w:r w:rsidR="0030341E" w:rsidRPr="00C0054A">
        <w:rPr>
          <w:szCs w:val="22"/>
          <w:lang w:val="en-GB"/>
        </w:rPr>
        <w:fldChar w:fldCharType="separate"/>
      </w:r>
      <w:r w:rsidR="0030341E" w:rsidRPr="00C0054A">
        <w:rPr>
          <w:noProof/>
          <w:szCs w:val="22"/>
          <w:lang w:val="en-GB"/>
        </w:rPr>
        <w:t>(Scott and Siltanen, 2017)</w:t>
      </w:r>
      <w:r w:rsidR="0030341E" w:rsidRPr="00C0054A">
        <w:rPr>
          <w:szCs w:val="22"/>
          <w:lang w:val="en-GB"/>
        </w:rPr>
        <w:fldChar w:fldCharType="end"/>
      </w:r>
      <w:r w:rsidR="0030341E" w:rsidRPr="00C0054A">
        <w:rPr>
          <w:szCs w:val="22"/>
          <w:lang w:val="en-GB"/>
        </w:rPr>
        <w:t xml:space="preserve">. A similar method has been used in a previous study </w:t>
      </w:r>
      <w:r w:rsidR="00224683" w:rsidRPr="00C0054A">
        <w:rPr>
          <w:szCs w:val="22"/>
          <w:lang w:val="en-GB"/>
        </w:rPr>
        <w:t xml:space="preserve">adopting an </w:t>
      </w:r>
      <w:r w:rsidR="0030341E" w:rsidRPr="00C0054A">
        <w:rPr>
          <w:szCs w:val="22"/>
          <w:lang w:val="en-GB"/>
        </w:rPr>
        <w:t xml:space="preserve">intersectionality </w:t>
      </w:r>
      <w:r w:rsidR="00224683" w:rsidRPr="00C0054A">
        <w:rPr>
          <w:szCs w:val="22"/>
          <w:lang w:val="en-GB"/>
        </w:rPr>
        <w:t xml:space="preserve">lens to </w:t>
      </w:r>
      <w:r w:rsidR="0030341E" w:rsidRPr="00C0054A">
        <w:rPr>
          <w:szCs w:val="22"/>
          <w:lang w:val="en-GB"/>
        </w:rPr>
        <w:t xml:space="preserve">gender, sexual minority and Hispanic ethnic identity and their interaction with experiences of bullying </w:t>
      </w:r>
      <w:r w:rsidR="00224683" w:rsidRPr="00C0054A">
        <w:rPr>
          <w:szCs w:val="22"/>
          <w:lang w:val="en-GB"/>
        </w:rPr>
        <w:t xml:space="preserve">and its relation with </w:t>
      </w:r>
      <w:r w:rsidR="0030341E" w:rsidRPr="00C0054A">
        <w:rPr>
          <w:szCs w:val="22"/>
          <w:lang w:val="en-GB"/>
        </w:rPr>
        <w:t>suicid</w:t>
      </w:r>
      <w:r w:rsidR="00224683" w:rsidRPr="00C0054A">
        <w:rPr>
          <w:szCs w:val="22"/>
          <w:lang w:val="en-GB"/>
        </w:rPr>
        <w:t>e</w:t>
      </w:r>
      <w:r w:rsidR="0030341E" w:rsidRPr="00C0054A">
        <w:rPr>
          <w:szCs w:val="22"/>
          <w:lang w:val="en-GB"/>
        </w:rPr>
        <w:t xml:space="preserve"> attempt</w:t>
      </w:r>
      <w:r w:rsidR="00224683" w:rsidRPr="00C0054A">
        <w:rPr>
          <w:szCs w:val="22"/>
          <w:lang w:val="en-GB"/>
        </w:rPr>
        <w:t>s</w:t>
      </w:r>
      <w:r w:rsidR="0030341E" w:rsidRPr="00C0054A">
        <w:rPr>
          <w:szCs w:val="22"/>
          <w:lang w:val="en-GB"/>
        </w:rPr>
        <w:t xml:space="preserve"> </w:t>
      </w:r>
      <w:r w:rsidR="0030341E" w:rsidRPr="00C0054A">
        <w:rPr>
          <w:szCs w:val="22"/>
          <w:lang w:val="en-GB"/>
        </w:rPr>
        <w:fldChar w:fldCharType="begin" w:fldLock="1"/>
      </w:r>
      <w:r w:rsidR="0030341E" w:rsidRPr="00C0054A">
        <w:rPr>
          <w:szCs w:val="22"/>
          <w:lang w:val="en-GB"/>
        </w:rPr>
        <w:instrText>ADDIN CSL_CITATION {"citationItems":[{"id":"ITEM-1","itemData":{"DOI":"10.2105/AJPH.2012.300994","ISSN":"0090-0036","abstract":"Objectives. We examined the intersections of sexual minority, gender, and Hispanic ethnic identities and their interaction with experiences of bullying in predicting suicide attempt among New York City youths.Methods. We performed secondary data analysis of the 2009 New York City Youth Risk Behavior Survey, using logistic regression to examine the association of sexual identity, gender, ethnicity, and bullying with suicide attempt. We stratified results on these measures and reported adjusted odds ratios.Results. Compared with non?sexual minority youths, sexual minority youths had 4.39 and 1.96 times higher odds, respectively, of attempting suicide and reporting bullying. Identity variables did not interact with bullying in predicting suicide attempt individually; however, a four-way interaction term was significant. The effect of bullying on suicide attempt was strongest among non-Hispanic sexual minority male youths (odds ratio?=?21.39 vs 1.65?3.38 for other groups).Conclusions. Sexual minority, gender, and ethnic identities interact with bullying in predicting suicide attempt among New York City youths. Interventions to limit both the prevalence and the effect of bullying among minority youths should consider an intersectional approach that considers ethnic, gender, and sexual identities.","author":[{"dropping-particle":"","family":"LeVasseur","given":"Michael T","non-dropping-particle":"","parse-names":false,"suffix":""},{"dropping-particle":"","family":"Kelvin","given":"Elizabeth A","non-dropping-particle":"","parse-names":false,"suffix":""},{"dropping-particle":"","family":"Grosskopf","given":"Nicholas A","non-dropping-particle":"","parse-names":false,"suffix":""}],"container-title":"American Journal of Public Health","id":"ITEM-1","issue":"6","issued":{"date-parts":[["2013","4","18"]]},"note":"doi: 10.2105/AJPH.2012.300994","page":"1082-1089","publisher":"American Public Health Association","title":"Intersecting Identities and the Association Between Bullying and Suicide Attempt Among New York City Youths: Results From the 2009 New York City Youth Risk Behavior Survey","type":"article-journal","volume":"103"},"uris":["http://www.mendeley.com/documents/?uuid=1d3cc574-1e9a-4281-9ef1-3265e1b8dcd3"]}],"mendeley":{"formattedCitation":"(LeVasseur et al., 2013)","plainTextFormattedCitation":"(LeVasseur et al., 2013)","previouslyFormattedCitation":"(LeVasseur et al., 2013)"},"properties":{"noteIndex":0},"schema":"https://github.com/citation-style-language/schema/raw/master/csl-citation.json"}</w:instrText>
      </w:r>
      <w:r w:rsidR="0030341E" w:rsidRPr="00C0054A">
        <w:rPr>
          <w:szCs w:val="22"/>
          <w:lang w:val="en-GB"/>
        </w:rPr>
        <w:fldChar w:fldCharType="separate"/>
      </w:r>
      <w:r w:rsidR="0030341E" w:rsidRPr="00C0054A">
        <w:rPr>
          <w:noProof/>
          <w:szCs w:val="22"/>
          <w:lang w:val="en-GB"/>
        </w:rPr>
        <w:t>(LeVasseur et al., 2013)</w:t>
      </w:r>
      <w:r w:rsidR="0030341E" w:rsidRPr="00C0054A">
        <w:rPr>
          <w:szCs w:val="22"/>
          <w:lang w:val="en-GB"/>
        </w:rPr>
        <w:fldChar w:fldCharType="end"/>
      </w:r>
      <w:r w:rsidR="006D4A5C" w:rsidRPr="00C0054A">
        <w:rPr>
          <w:szCs w:val="22"/>
          <w:lang w:val="en-GB"/>
        </w:rPr>
        <w:t>.</w:t>
      </w:r>
    </w:p>
    <w:p w14:paraId="2ABA6427" w14:textId="4A6A3877" w:rsidR="00224683" w:rsidRPr="00C0054A" w:rsidRDefault="007521C9" w:rsidP="00535D0A">
      <w:r w:rsidRPr="00C0054A">
        <w:rPr>
          <w:lang w:val="en-GB"/>
        </w:rPr>
        <w:t xml:space="preserve">In additional analyses, we estimated the mediation effects of each of the ambient air pollutants </w:t>
      </w:r>
      <w:r w:rsidRPr="00C0054A">
        <w:t>(PM</w:t>
      </w:r>
      <w:r w:rsidRPr="00C0054A">
        <w:rPr>
          <w:vertAlign w:val="subscript"/>
        </w:rPr>
        <w:t>2.5</w:t>
      </w:r>
      <w:r w:rsidRPr="00C0054A">
        <w:t>, PM</w:t>
      </w:r>
      <w:r w:rsidRPr="00C0054A">
        <w:rPr>
          <w:vertAlign w:val="subscript"/>
        </w:rPr>
        <w:t>10</w:t>
      </w:r>
      <w:r w:rsidRPr="00C0054A">
        <w:t>, NO</w:t>
      </w:r>
      <w:r w:rsidRPr="00C0054A">
        <w:rPr>
          <w:vertAlign w:val="subscript"/>
        </w:rPr>
        <w:t>2</w:t>
      </w:r>
      <w:r w:rsidRPr="00C0054A">
        <w:t xml:space="preserve"> and BC) </w:t>
      </w:r>
      <w:r w:rsidR="00224683" w:rsidRPr="00C0054A">
        <w:t>o</w:t>
      </w:r>
      <w:r w:rsidRPr="00C0054A">
        <w:t xml:space="preserve">n associations between residential UGS indicators and poor self-perceived health and natural cause mortality. For each mediator, we fitted two fully adjusted models (i.e., including all our covariates): a model A of the association between the exposure and the outcome (including the mediator), and a linear regression model B of the association between the exposure and the mediator. Model A calculates the total effect and model B calculates the effect of the exposure on the mediator. The average causal mediation effects (also called indirect effects) and the average direct effects can be estimated from these two models. Subsequently, we can calculate the proportion of outcome reduction (poor self-perceived health or natural cause mortality) in the association with residential UGS explained by the studied mediators </w:t>
      </w:r>
      <w:r w:rsidRPr="00C0054A">
        <w:fldChar w:fldCharType="begin" w:fldLock="1"/>
      </w:r>
      <w:r w:rsidRPr="00C0054A">
        <w:instrText>ADDIN CSL_CITATION {"citationItems":[{"id":"ITEM-1","itemData":{"DOI":"10.1037/a0020761","author":[{"dropping-particle":"","family":"Imai","given":"Kosuke","non-dropping-particle":"","parse-names":false,"suffix":""},{"dropping-particle":"","family":"Keele","given":"Luke","non-dropping-particle":"","parse-names":false,"suffix":""},{"dropping-particle":"","family":"Tingley","given":"Dustin","non-dropping-particle":"","parse-names":false,"suffix":""}],"container-title":"Psychol Methods","id":"ITEM-1","issue":"4","issued":{"date-parts":[["2010"]]},"page":"309-334","title":"A General Approach to Causal Mediation Analysis","type":"article-journal","volume":"15"},"uris":["http://www.mendeley.com/documents/?uuid=28debb3d-b3a2-47c2-8d9a-7aa1c804aaac"]},{"id":"ITEM-2","itemData":{"DOI":"https://doi.org/10.1016/j.envint.2020.106365","ISSN":"0160-4120","abstract":"Background Epidemiological studies suggest that residing close to green space reduce mortality rates. We investigated the relationship between long-term exposure to residential green space and non-accidental and cardio-respiratory mortality. Methods We linked the Belgian 2001 census to population and mortality register follow-up data (2001–2011) among adults aged 30 years and older residing in the five largest urban areas in Belgium (n = 2,185,170 and mean follow-up time 9.4 years). Residential addresses were available at baseline. Exposure to green space was defined as 1) surrounding greenness (2006) [normalized difference vegetation index (NDVI) and modified soil-adjusted vegetation index (MSAVI2)] within buffers of 300 m, 500 m, and 1000 m; 2) surrounding green space (2006) [Urban Atlas (UA) and CORINE Land Cover (CLC)] within buffers of 300 m, 500 m, and 1000 m; and 3) perceived neighborhood green space (2001). Cox proportional hazards models with age as the underlying time scale were used to probe into cause-specific mortality (non-accidental, respiratory, COPD, cardiovascular, ischemic heart disease (IHD), and cerebrovascular). Models were adjusted for several sociodemographic variables (age, sex, marital status, country of birth, education level, employment status, and area mean income). We further adjusted our main models for annual mean (2010) values of ambient air pollution (PM2.5, PM10, NO2 and BC, one at a time), and we additionally explored potential mediation with the aforementioned pollutants. Results Higher degrees of residential green space were associated with lower rates of non-accidental and respiratory mortality. In fully adjusted models, hazard ratios (HR) per interquartile range (IQR) increase in NDVI 500 m buffer (IQR: 0.24) and UA 500 m buffer (IQR: 0.31) were 0.97 (95%CI 0.96–0.98) and 0.99 (95%CI 0.98–0.99) for non-accidental mortality, and 0.95 (95%CI 0.93–0.98) and 0.97 (95%CI 0.96–0.99) for respiratory mortality. For perceived neighborhood green space, HRs were 0.93 (95%CI 0.92–0.94) and 0.94 (95%CI 0.91–0.98) for non-accidental and respiratory mortality, respectively. The observed lower mortality risks associated with residential exposure to green space were largely independent from exposure to ambient air pollutants. Conclusion We observed evidence for lower mortality risk in associations with long-term residential exposure to green space in most but not all studied causes of death in a large representative cohort for the…","author":[{"dropping-particle":"","family":"Bauwelinck","given":"Mariska","non-dropping-particle":"","parse-names":false,"suffix":""},{"dropping-particle":"","family":"Casas","given":"Lidia","non-dropping-particle":"","parse-names":false,"suffix":""},{"dropping-particle":"","family":"Nawrot","given":"Tim S","non-dropping-particle":"","parse-names":false,"suffix":""},{"dropping-particle":"","family":"Nemery","given":"Benoit","non-dropping-particle":"","parse-names":false,"suffix":""},{"dropping-particle":"","family":"Trabelsi","given":"Sonia","non-dropping-particle":"","parse-names":false,"suffix":""},{"dropping-particle":"","family":"Thomas","given":"Isabelle","non-dropping-particle":"","parse-names":false,"suffix":""},{"dropping-particle":"","family":"Aerts","given":"Raf","non-dropping-particle":"","parse-names":false,"suffix":""},{"dropping-particle":"","family":"Lefebvre","given":"Wouter","non-dropping-particle":"","parse-names":false,"suffix":""},{"dropping-particle":"","family":"Vanpoucke","given":"Charlotte","non-dropping-particle":"","parse-names":false,"suffix":""},{"dropping-particle":"","family":"Nieuwenhuyse","given":"An","non-dropping-particle":"Van","parse-names":false,"suffix":""},{"dropping-particle":"","family":"Deboosere","given":"Patrick","non-dropping-particle":"","parse-names":false,"suffix":""},{"dropping-particle":"","family":"Vandenheede","given":"Hadewijch","non-dropping-particle":"","parse-names":false,"suffix":""}],"container-title":"Environment International","id":"ITEM-2","issued":{"date-parts":[["2021"]]},"page":"106365","title":"Residing in urban areas with higher green space is associated with lower mortality risk: A census-based cohort study with ten years of follow-up","type":"article-journal","volume":"148"},"uris":["http://www.mendeley.com/documents/?uuid=0c494c14-c951-40e8-811e-08967e2b217f"]}],"mendeley":{"formattedCitation":"(Bauwelinck et al., 2021; Imai et al., 2010)","plainTextFormattedCitation":"(Bauwelinck et al., 2021; Imai et al., 2010)","previouslyFormattedCitation":"(Bauwelinck et al., 2021; Imai et al., 2010)"},"properties":{"noteIndex":0},"schema":"https://github.com/citation-style-language/schema/raw/master/csl-citation.json"}</w:instrText>
      </w:r>
      <w:r w:rsidRPr="00C0054A">
        <w:fldChar w:fldCharType="separate"/>
      </w:r>
      <w:r w:rsidRPr="00C0054A">
        <w:rPr>
          <w:noProof/>
        </w:rPr>
        <w:t>(Bauwelinck et al., 2021; Imai et al., 2010)</w:t>
      </w:r>
      <w:r w:rsidRPr="00C0054A">
        <w:rPr>
          <w:lang w:val="en-GB"/>
        </w:rPr>
        <w:fldChar w:fldCharType="end"/>
      </w:r>
      <w:r w:rsidRPr="00C0054A">
        <w:t>. The linear associations between both residential UGS indicators and noise pollution levels (</w:t>
      </w:r>
      <w:proofErr w:type="spellStart"/>
      <w:r w:rsidRPr="00C0054A">
        <w:t>L</w:t>
      </w:r>
      <w:r w:rsidRPr="00C0054A">
        <w:rPr>
          <w:vertAlign w:val="subscript"/>
        </w:rPr>
        <w:t>den</w:t>
      </w:r>
      <w:proofErr w:type="spellEnd"/>
      <w:r w:rsidRPr="00C0054A">
        <w:t xml:space="preserve">) were positive, which was </w:t>
      </w:r>
      <w:r w:rsidRPr="00C0054A">
        <w:rPr>
          <w:lang w:val="en-GB"/>
        </w:rPr>
        <w:t>counterintuitive, and we</w:t>
      </w:r>
      <w:r w:rsidRPr="00C0054A">
        <w:t xml:space="preserve"> therefore decided to not </w:t>
      </w:r>
      <w:r w:rsidR="00224683" w:rsidRPr="00C0054A">
        <w:t xml:space="preserve">to </w:t>
      </w:r>
      <w:r w:rsidRPr="00C0054A">
        <w:t>conduct the mediation analyses for this variable.</w:t>
      </w:r>
    </w:p>
    <w:p w14:paraId="1BC26684" w14:textId="637E3567" w:rsidR="00312072" w:rsidRPr="00C0054A" w:rsidRDefault="00651753" w:rsidP="009D5988">
      <w:pPr>
        <w:rPr>
          <w:lang w:val="en-GB"/>
        </w:rPr>
      </w:pPr>
      <w:r w:rsidRPr="00A858D5">
        <w:rPr>
          <w:lang w:val="en-GB"/>
        </w:rPr>
        <w:t>We conducted s</w:t>
      </w:r>
      <w:r w:rsidR="008D7A43" w:rsidRPr="00A858D5">
        <w:rPr>
          <w:lang w:val="en-GB"/>
        </w:rPr>
        <w:t xml:space="preserve">ensitivity analyses </w:t>
      </w:r>
      <w:r w:rsidR="00362CC6" w:rsidRPr="00A858D5">
        <w:rPr>
          <w:lang w:val="en-GB"/>
        </w:rPr>
        <w:t>to assess the robustness of our findings</w:t>
      </w:r>
      <w:r w:rsidR="00066468" w:rsidRPr="00C0054A">
        <w:rPr>
          <w:lang w:val="en-GB"/>
        </w:rPr>
        <w:t>.</w:t>
      </w:r>
      <w:r w:rsidR="001F0AA7" w:rsidRPr="00C0054A">
        <w:rPr>
          <w:lang w:val="en-GB"/>
        </w:rPr>
        <w:t xml:space="preserve"> </w:t>
      </w:r>
      <w:r w:rsidR="00F52AD0" w:rsidRPr="00C0054A">
        <w:rPr>
          <w:lang w:val="en-GB"/>
        </w:rPr>
        <w:t>First, to account for the missing covariate data, we conducted multiple imputation by chained equations, carrying out 15 multiple imputations with 10 cycles of iterations each, that generated 15 complete datasets. Second, as our main models were adjusted by PM</w:t>
      </w:r>
      <w:r w:rsidR="00F52AD0" w:rsidRPr="00C0054A">
        <w:rPr>
          <w:vertAlign w:val="subscript"/>
          <w:lang w:val="en-GB"/>
        </w:rPr>
        <w:t>2.5</w:t>
      </w:r>
      <w:r w:rsidR="00F52AD0" w:rsidRPr="00C0054A">
        <w:rPr>
          <w:lang w:val="en-GB"/>
        </w:rPr>
        <w:t xml:space="preserve"> concentrations, all analyses were repeated using other air pollutants in the models (PM</w:t>
      </w:r>
      <w:r w:rsidR="00F52AD0" w:rsidRPr="00C0054A">
        <w:rPr>
          <w:vertAlign w:val="subscript"/>
          <w:lang w:val="en-GB"/>
        </w:rPr>
        <w:t>10</w:t>
      </w:r>
      <w:r w:rsidR="00F52AD0" w:rsidRPr="00C0054A">
        <w:rPr>
          <w:lang w:val="en-GB"/>
        </w:rPr>
        <w:t>, NO</w:t>
      </w:r>
      <w:r w:rsidR="00F52AD0" w:rsidRPr="00C0054A">
        <w:rPr>
          <w:vertAlign w:val="subscript"/>
          <w:lang w:val="en-GB"/>
        </w:rPr>
        <w:t>2</w:t>
      </w:r>
      <w:r w:rsidR="00F52AD0" w:rsidRPr="00C0054A">
        <w:rPr>
          <w:lang w:val="en-GB"/>
        </w:rPr>
        <w:t xml:space="preserve"> or BC). Third, we limited our analyses to certain population groups: (a) we excluded movers, i.e., we only included individuals who lived in the same statistical ward in 1991 and in 2001, </w:t>
      </w:r>
      <w:proofErr w:type="gramStart"/>
      <w:r w:rsidR="00F52AD0" w:rsidRPr="00C0054A">
        <w:rPr>
          <w:lang w:val="en-GB"/>
        </w:rPr>
        <w:t>assuming that</w:t>
      </w:r>
      <w:proofErr w:type="gramEnd"/>
      <w:r w:rsidR="00F52AD0" w:rsidRPr="00C0054A">
        <w:rPr>
          <w:lang w:val="en-GB"/>
        </w:rPr>
        <w:t xml:space="preserve"> they did not change residence 10 years prior to baseline; (b) we excluded individuals living in social housing; and (c) we excluded students, since their educational attainment or housing tenure are not likely to reflect their true socioeconomic position. Finally, we re-ran the analyses</w:t>
      </w:r>
      <w:r w:rsidR="00961716" w:rsidRPr="00C0054A">
        <w:rPr>
          <w:lang w:val="en-GB"/>
        </w:rPr>
        <w:t xml:space="preserve"> to assess potential influences on UGS exposure</w:t>
      </w:r>
      <w:r w:rsidR="00F52AD0" w:rsidRPr="00C0054A">
        <w:rPr>
          <w:lang w:val="en-GB"/>
        </w:rPr>
        <w:t xml:space="preserve">: (a) </w:t>
      </w:r>
      <w:r w:rsidR="00961716" w:rsidRPr="00C0054A">
        <w:rPr>
          <w:lang w:val="en-GB"/>
        </w:rPr>
        <w:t>when</w:t>
      </w:r>
      <w:r w:rsidR="00F52AD0" w:rsidRPr="00C0054A">
        <w:rPr>
          <w:lang w:val="en-GB"/>
        </w:rPr>
        <w:t xml:space="preserve"> using different buffer sizes (500-m and 1,000-m) for surrounding greenness; and (b) </w:t>
      </w:r>
      <w:r w:rsidR="00961716" w:rsidRPr="00C0054A">
        <w:rPr>
          <w:lang w:val="en-GB"/>
        </w:rPr>
        <w:t xml:space="preserve">when </w:t>
      </w:r>
      <w:r w:rsidR="00F52AD0" w:rsidRPr="00C0054A">
        <w:rPr>
          <w:lang w:val="en-GB"/>
        </w:rPr>
        <w:t>excluding individuals with a private garden.</w:t>
      </w:r>
    </w:p>
    <w:p w14:paraId="0EA28600" w14:textId="0BFB5890" w:rsidR="00F50E21" w:rsidRDefault="00F50E21" w:rsidP="009D5988">
      <w:pPr>
        <w:rPr>
          <w:lang w:val="en-GB"/>
        </w:rPr>
      </w:pPr>
    </w:p>
    <w:p w14:paraId="44814662" w14:textId="7E69DF7D" w:rsidR="00F50E21" w:rsidRDefault="002F3553" w:rsidP="009D5988">
      <w:pPr>
        <w:rPr>
          <w:lang w:val="en-GB"/>
        </w:rPr>
      </w:pPr>
      <w:r>
        <w:rPr>
          <w:noProof/>
          <w:lang w:val="en-GB"/>
        </w:rPr>
        <w:lastRenderedPageBreak/>
        <w:drawing>
          <wp:inline distT="0" distB="0" distL="0" distR="0" wp14:anchorId="3EAFABCF" wp14:editId="6E76ACEF">
            <wp:extent cx="5727700" cy="429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F768F48" w14:textId="521FD625" w:rsidR="00F50E21" w:rsidRDefault="00FF3E1B" w:rsidP="002F1C14">
      <w:pPr>
        <w:spacing w:after="120"/>
        <w:rPr>
          <w:lang w:val="en-GB"/>
        </w:rPr>
      </w:pPr>
      <w:r w:rsidRPr="00A2751E">
        <w:rPr>
          <w:b/>
          <w:bCs/>
          <w:lang w:val="en-GB"/>
        </w:rPr>
        <w:t xml:space="preserve">Figure 1. </w:t>
      </w:r>
      <w:r w:rsidRPr="00A2751E">
        <w:rPr>
          <w:lang w:val="en-GB"/>
        </w:rPr>
        <w:t>Exposure-response curves (natural splines with two degrees of freedom)</w:t>
      </w:r>
      <w:r>
        <w:rPr>
          <w:lang w:val="en-GB"/>
        </w:rPr>
        <w:t xml:space="preserve"> between the UGS indicators and poor self-perceived health (odds ratio, OR) and 95% confidence interval (95%CI) and natural cause mortality (hazard ratio, HR) and 95%CI.</w:t>
      </w:r>
    </w:p>
    <w:p w14:paraId="4D4EF83A" w14:textId="6995B44A" w:rsidR="00F50E21" w:rsidRDefault="00F50E21" w:rsidP="009D5988">
      <w:pPr>
        <w:rPr>
          <w:lang w:val="en-GB"/>
        </w:rPr>
      </w:pPr>
    </w:p>
    <w:p w14:paraId="2F327850" w14:textId="77777777" w:rsidR="00F50E21" w:rsidRPr="00A858D5" w:rsidRDefault="00F50E21" w:rsidP="009D5988">
      <w:pPr>
        <w:rPr>
          <w:lang w:val="en-GB"/>
        </w:rPr>
      </w:pPr>
    </w:p>
    <w:p w14:paraId="3380AE1C" w14:textId="368B7749" w:rsidR="00312072" w:rsidRPr="00A858D5" w:rsidRDefault="00A60805" w:rsidP="00A60805">
      <w:pPr>
        <w:pStyle w:val="Heading1"/>
        <w:numPr>
          <w:ilvl w:val="0"/>
          <w:numId w:val="2"/>
        </w:numPr>
        <w:rPr>
          <w:lang w:val="en-GB"/>
        </w:rPr>
      </w:pPr>
      <w:r w:rsidRPr="00A858D5">
        <w:rPr>
          <w:lang w:val="en-GB"/>
        </w:rPr>
        <w:t>Results</w:t>
      </w:r>
    </w:p>
    <w:p w14:paraId="5C271580" w14:textId="2A673A23" w:rsidR="002C3035" w:rsidRDefault="00C36254" w:rsidP="006F2FE2">
      <w:pPr>
        <w:rPr>
          <w:lang w:val="en-GB"/>
        </w:rPr>
      </w:pPr>
      <w:r w:rsidRPr="00A858D5">
        <w:rPr>
          <w:lang w:val="en-GB"/>
        </w:rPr>
        <w:t>The general characteristics</w:t>
      </w:r>
      <w:r w:rsidR="00452620" w:rsidRPr="00A858D5">
        <w:rPr>
          <w:lang w:val="en-GB"/>
        </w:rPr>
        <w:t xml:space="preserve"> </w:t>
      </w:r>
      <w:r w:rsidR="00054782" w:rsidRPr="00A858D5">
        <w:rPr>
          <w:lang w:val="en-GB"/>
        </w:rPr>
        <w:t xml:space="preserve">of </w:t>
      </w:r>
      <w:r w:rsidR="00452620" w:rsidRPr="00A858D5">
        <w:rPr>
          <w:lang w:val="en-GB"/>
        </w:rPr>
        <w:t>the</w:t>
      </w:r>
      <w:r w:rsidR="00BC3F1E" w:rsidRPr="00A858D5">
        <w:rPr>
          <w:lang w:val="en-GB"/>
        </w:rPr>
        <w:t xml:space="preserve"> total</w:t>
      </w:r>
      <w:r w:rsidR="00452620" w:rsidRPr="00A858D5">
        <w:rPr>
          <w:lang w:val="en-GB"/>
        </w:rPr>
        <w:t xml:space="preserve"> study population</w:t>
      </w:r>
      <w:r w:rsidR="00AA579D" w:rsidRPr="00A858D5">
        <w:rPr>
          <w:lang w:val="en-GB"/>
        </w:rPr>
        <w:t xml:space="preserve"> at baseline (year 2001)</w:t>
      </w:r>
      <w:r w:rsidR="00B71660" w:rsidRPr="00A858D5">
        <w:rPr>
          <w:lang w:val="en-GB"/>
        </w:rPr>
        <w:t xml:space="preserve"> and </w:t>
      </w:r>
      <w:r w:rsidR="00494933" w:rsidRPr="00A858D5">
        <w:rPr>
          <w:lang w:val="en-GB"/>
        </w:rPr>
        <w:t>information on</w:t>
      </w:r>
      <w:r w:rsidR="00B71660" w:rsidRPr="00A858D5">
        <w:rPr>
          <w:lang w:val="en-GB"/>
        </w:rPr>
        <w:t xml:space="preserve"> mortality and </w:t>
      </w:r>
      <w:r w:rsidR="00494933" w:rsidRPr="00A858D5">
        <w:rPr>
          <w:lang w:val="en-GB"/>
        </w:rPr>
        <w:t>emigration</w:t>
      </w:r>
      <w:r w:rsidR="00B71660" w:rsidRPr="00A858D5">
        <w:rPr>
          <w:lang w:val="en-GB"/>
        </w:rPr>
        <w:t xml:space="preserve"> during </w:t>
      </w:r>
      <w:r w:rsidR="00875D69" w:rsidRPr="00A858D5">
        <w:rPr>
          <w:lang w:val="en-GB"/>
        </w:rPr>
        <w:t>follow-up</w:t>
      </w:r>
      <w:r w:rsidR="00B71660" w:rsidRPr="00A858D5">
        <w:rPr>
          <w:lang w:val="en-GB"/>
        </w:rPr>
        <w:t xml:space="preserve"> (2001</w:t>
      </w:r>
      <w:r w:rsidR="00875D69" w:rsidRPr="00A858D5">
        <w:rPr>
          <w:lang w:val="en-GB"/>
        </w:rPr>
        <w:t>-</w:t>
      </w:r>
      <w:r w:rsidR="00B71660" w:rsidRPr="00A858D5">
        <w:rPr>
          <w:lang w:val="en-GB"/>
        </w:rPr>
        <w:t>2014)</w:t>
      </w:r>
      <w:r w:rsidR="0026051D" w:rsidRPr="00A858D5">
        <w:rPr>
          <w:lang w:val="en-GB"/>
        </w:rPr>
        <w:t xml:space="preserve"> </w:t>
      </w:r>
      <w:r w:rsidR="00452620" w:rsidRPr="00A858D5">
        <w:rPr>
          <w:lang w:val="en-GB"/>
        </w:rPr>
        <w:t xml:space="preserve">are </w:t>
      </w:r>
      <w:r w:rsidR="00035313" w:rsidRPr="00A858D5">
        <w:rPr>
          <w:lang w:val="en-GB"/>
        </w:rPr>
        <w:t xml:space="preserve">presented </w:t>
      </w:r>
      <w:r w:rsidR="00452620" w:rsidRPr="00A858D5">
        <w:rPr>
          <w:lang w:val="en-GB"/>
        </w:rPr>
        <w:t>in Table 1.</w:t>
      </w:r>
      <w:r w:rsidRPr="00A858D5">
        <w:rPr>
          <w:lang w:val="en-GB"/>
        </w:rPr>
        <w:t xml:space="preserve"> </w:t>
      </w:r>
      <w:r w:rsidR="00AA579D" w:rsidRPr="00A858D5">
        <w:rPr>
          <w:lang w:val="en-GB"/>
        </w:rPr>
        <w:t>In total, 5</w:t>
      </w:r>
      <w:r w:rsidR="00ED000D" w:rsidRPr="00A858D5">
        <w:rPr>
          <w:lang w:val="en-GB"/>
        </w:rPr>
        <w:t>71</w:t>
      </w:r>
      <w:r w:rsidR="00AA579D" w:rsidRPr="00A858D5">
        <w:rPr>
          <w:lang w:val="en-GB"/>
        </w:rPr>
        <w:t>,</w:t>
      </w:r>
      <w:r w:rsidR="00ED000D" w:rsidRPr="00A858D5">
        <w:rPr>
          <w:lang w:val="en-GB"/>
        </w:rPr>
        <w:t>558</w:t>
      </w:r>
      <w:r w:rsidR="00AA579D" w:rsidRPr="00A858D5">
        <w:rPr>
          <w:lang w:val="en-GB"/>
        </w:rPr>
        <w:t xml:space="preserve"> individuals were included</w:t>
      </w:r>
      <w:r w:rsidR="00B71660" w:rsidRPr="00A858D5">
        <w:rPr>
          <w:lang w:val="en-GB"/>
        </w:rPr>
        <w:t xml:space="preserve"> at baseline</w:t>
      </w:r>
      <w:r w:rsidR="00AA579D" w:rsidRPr="00A858D5">
        <w:rPr>
          <w:lang w:val="en-GB"/>
        </w:rPr>
        <w:t xml:space="preserve">. </w:t>
      </w:r>
      <w:r w:rsidR="00B71660" w:rsidRPr="00A858D5">
        <w:rPr>
          <w:lang w:val="en-GB"/>
        </w:rPr>
        <w:t>The mean age at baseline was 44 years (</w:t>
      </w:r>
      <w:r w:rsidR="0051402A" w:rsidRPr="00A858D5">
        <w:rPr>
          <w:rFonts w:ascii="Calibri" w:hAnsi="Calibri" w:cs="Calibri"/>
          <w:lang w:val="en-GB"/>
        </w:rPr>
        <w:t>±</w:t>
      </w:r>
      <w:r w:rsidR="00CE52E2" w:rsidRPr="00A858D5">
        <w:rPr>
          <w:rFonts w:ascii="Calibri" w:hAnsi="Calibri" w:cs="Calibri"/>
          <w:lang w:val="en-GB"/>
        </w:rPr>
        <w:t xml:space="preserve"> </w:t>
      </w:r>
      <w:r w:rsidR="009F07CB" w:rsidRPr="00A858D5">
        <w:rPr>
          <w:rFonts w:ascii="Calibri" w:hAnsi="Calibri" w:cs="Calibri"/>
          <w:lang w:val="en-GB"/>
        </w:rPr>
        <w:t>standard deviation (</w:t>
      </w:r>
      <w:r w:rsidR="0051402A" w:rsidRPr="00A858D5">
        <w:rPr>
          <w:rFonts w:ascii="Calibri" w:hAnsi="Calibri" w:cs="Calibri"/>
          <w:lang w:val="en-GB"/>
        </w:rPr>
        <w:t>SD</w:t>
      </w:r>
      <w:r w:rsidR="009F07CB" w:rsidRPr="00A858D5">
        <w:rPr>
          <w:rFonts w:ascii="Calibri" w:hAnsi="Calibri" w:cs="Calibri"/>
          <w:lang w:val="en-GB"/>
        </w:rPr>
        <w:t>)</w:t>
      </w:r>
      <w:r w:rsidR="0051402A" w:rsidRPr="00A858D5">
        <w:rPr>
          <w:rFonts w:ascii="Calibri" w:hAnsi="Calibri" w:cs="Calibri"/>
          <w:lang w:val="en-GB"/>
        </w:rPr>
        <w:t xml:space="preserve"> </w:t>
      </w:r>
      <w:r w:rsidR="00F651D3" w:rsidRPr="00A858D5">
        <w:rPr>
          <w:lang w:val="en-GB"/>
        </w:rPr>
        <w:t>17.1</w:t>
      </w:r>
      <w:r w:rsidR="00B71660" w:rsidRPr="00A858D5">
        <w:rPr>
          <w:lang w:val="en-GB"/>
        </w:rPr>
        <w:t xml:space="preserve">). More than three quarters of the population </w:t>
      </w:r>
      <w:r w:rsidR="00FE77AB" w:rsidRPr="00A858D5">
        <w:rPr>
          <w:lang w:val="en-GB"/>
        </w:rPr>
        <w:t>was of</w:t>
      </w:r>
      <w:r w:rsidR="00B71660" w:rsidRPr="00A858D5">
        <w:rPr>
          <w:lang w:val="en-GB"/>
        </w:rPr>
        <w:t xml:space="preserve"> Belgi</w:t>
      </w:r>
      <w:r w:rsidR="001527B5" w:rsidRPr="00A858D5">
        <w:rPr>
          <w:lang w:val="en-GB"/>
        </w:rPr>
        <w:t>an origin</w:t>
      </w:r>
      <w:r w:rsidR="00B71660" w:rsidRPr="00A858D5">
        <w:rPr>
          <w:lang w:val="en-GB"/>
        </w:rPr>
        <w:t xml:space="preserve"> (5</w:t>
      </w:r>
      <w:r w:rsidR="009E231B" w:rsidRPr="00A858D5">
        <w:rPr>
          <w:lang w:val="en-GB"/>
        </w:rPr>
        <w:t>7</w:t>
      </w:r>
      <w:r w:rsidR="00B71660" w:rsidRPr="00A858D5">
        <w:rPr>
          <w:lang w:val="en-GB"/>
        </w:rPr>
        <w:t>% of the total population)</w:t>
      </w:r>
      <w:r w:rsidR="00C22EB7" w:rsidRPr="00A858D5">
        <w:rPr>
          <w:lang w:val="en-GB"/>
        </w:rPr>
        <w:t xml:space="preserve"> </w:t>
      </w:r>
      <w:r w:rsidR="001F776A" w:rsidRPr="00A858D5">
        <w:rPr>
          <w:lang w:val="en-GB"/>
        </w:rPr>
        <w:t>and</w:t>
      </w:r>
      <w:r w:rsidR="00B71660" w:rsidRPr="00A858D5">
        <w:rPr>
          <w:lang w:val="en-GB"/>
        </w:rPr>
        <w:t xml:space="preserve"> </w:t>
      </w:r>
      <w:r w:rsidR="003C75FB" w:rsidRPr="00A858D5">
        <w:rPr>
          <w:lang w:val="en-GB"/>
        </w:rPr>
        <w:t xml:space="preserve">the group of </w:t>
      </w:r>
      <w:r w:rsidR="00B71660" w:rsidRPr="00A858D5">
        <w:rPr>
          <w:lang w:val="en-GB"/>
        </w:rPr>
        <w:t>residents</w:t>
      </w:r>
      <w:r w:rsidR="007F404C" w:rsidRPr="00A858D5">
        <w:rPr>
          <w:lang w:val="en-GB"/>
        </w:rPr>
        <w:t xml:space="preserve"> originating</w:t>
      </w:r>
      <w:r w:rsidR="00B71660" w:rsidRPr="00A858D5">
        <w:rPr>
          <w:lang w:val="en-GB"/>
        </w:rPr>
        <w:t xml:space="preserve"> from </w:t>
      </w:r>
      <w:r w:rsidR="00A70730" w:rsidRPr="00A858D5">
        <w:rPr>
          <w:lang w:val="en-GB"/>
        </w:rPr>
        <w:t>LMIC</w:t>
      </w:r>
      <w:r w:rsidR="00D46C63" w:rsidRPr="00A858D5">
        <w:rPr>
          <w:lang w:val="en-GB"/>
        </w:rPr>
        <w:t xml:space="preserve"> </w:t>
      </w:r>
      <w:r w:rsidR="003C75FB" w:rsidRPr="00A858D5">
        <w:rPr>
          <w:lang w:val="en-GB"/>
        </w:rPr>
        <w:t>was larger</w:t>
      </w:r>
      <w:r w:rsidR="00B71660" w:rsidRPr="00A858D5">
        <w:rPr>
          <w:lang w:val="en-GB"/>
        </w:rPr>
        <w:t xml:space="preserve"> (</w:t>
      </w:r>
      <w:r w:rsidR="00A70730" w:rsidRPr="00A858D5">
        <w:rPr>
          <w:lang w:val="en-GB"/>
        </w:rPr>
        <w:t>25</w:t>
      </w:r>
      <w:r w:rsidR="00B71660" w:rsidRPr="00A858D5">
        <w:rPr>
          <w:lang w:val="en-GB"/>
        </w:rPr>
        <w:t>%)</w:t>
      </w:r>
      <w:r w:rsidR="00D46C63" w:rsidRPr="00A858D5">
        <w:rPr>
          <w:lang w:val="en-GB"/>
        </w:rPr>
        <w:t xml:space="preserve"> than </w:t>
      </w:r>
      <w:r w:rsidR="00AD4E8C" w:rsidRPr="00A858D5">
        <w:rPr>
          <w:lang w:val="en-GB"/>
        </w:rPr>
        <w:t>the group originating</w:t>
      </w:r>
      <w:r w:rsidR="00D46C63" w:rsidRPr="00A858D5">
        <w:rPr>
          <w:lang w:val="en-GB"/>
        </w:rPr>
        <w:t xml:space="preserve"> from other HIC </w:t>
      </w:r>
      <w:r w:rsidR="007F404C" w:rsidRPr="00A858D5">
        <w:rPr>
          <w:lang w:val="en-GB"/>
        </w:rPr>
        <w:t>(19%)</w:t>
      </w:r>
      <w:r w:rsidR="001863FE" w:rsidRPr="00A858D5">
        <w:rPr>
          <w:lang w:val="en-GB"/>
        </w:rPr>
        <w:t>.</w:t>
      </w:r>
      <w:r w:rsidR="00046CC2" w:rsidRPr="00A858D5">
        <w:rPr>
          <w:lang w:val="en-GB"/>
        </w:rPr>
        <w:t xml:space="preserve"> </w:t>
      </w:r>
      <w:r w:rsidR="009D5988" w:rsidRPr="00A858D5">
        <w:rPr>
          <w:lang w:val="en-GB"/>
        </w:rPr>
        <w:t>During the follow-up</w:t>
      </w:r>
      <w:r w:rsidR="003F1A25" w:rsidRPr="00A858D5">
        <w:rPr>
          <w:lang w:val="en-GB"/>
        </w:rPr>
        <w:t xml:space="preserve"> period </w:t>
      </w:r>
      <w:r w:rsidR="0014108B" w:rsidRPr="00A858D5">
        <w:rPr>
          <w:lang w:val="en-GB"/>
        </w:rPr>
        <w:t>(</w:t>
      </w:r>
      <w:r w:rsidR="003F1A25" w:rsidRPr="00A858D5">
        <w:rPr>
          <w:lang w:val="en-GB"/>
        </w:rPr>
        <w:t>2001-</w:t>
      </w:r>
      <w:r w:rsidR="0050055C" w:rsidRPr="00A858D5">
        <w:rPr>
          <w:lang w:val="en-GB"/>
        </w:rPr>
        <w:t>2014</w:t>
      </w:r>
      <w:r w:rsidR="0014108B" w:rsidRPr="00A858D5">
        <w:rPr>
          <w:lang w:val="en-GB"/>
        </w:rPr>
        <w:t>)</w:t>
      </w:r>
      <w:r w:rsidR="003F1A25" w:rsidRPr="00A858D5">
        <w:rPr>
          <w:lang w:val="en-GB"/>
        </w:rPr>
        <w:t xml:space="preserve">, </w:t>
      </w:r>
      <w:r w:rsidR="002F05E0" w:rsidRPr="00A858D5">
        <w:rPr>
          <w:lang w:val="en-GB"/>
        </w:rPr>
        <w:t xml:space="preserve">about </w:t>
      </w:r>
      <w:r w:rsidR="00CF41A5" w:rsidRPr="00A858D5">
        <w:rPr>
          <w:lang w:val="en-GB"/>
        </w:rPr>
        <w:t>9</w:t>
      </w:r>
      <w:r w:rsidR="003F1A25" w:rsidRPr="00A858D5">
        <w:rPr>
          <w:lang w:val="en-GB"/>
        </w:rPr>
        <w:t xml:space="preserve">% </w:t>
      </w:r>
      <w:r w:rsidR="004971BE" w:rsidRPr="00A858D5">
        <w:rPr>
          <w:lang w:val="en-GB"/>
        </w:rPr>
        <w:t>(N=</w:t>
      </w:r>
      <w:r w:rsidR="00AB7194" w:rsidRPr="00A858D5">
        <w:rPr>
          <w:lang w:val="en-GB"/>
        </w:rPr>
        <w:t>2</w:t>
      </w:r>
      <w:r w:rsidR="00CF41A5" w:rsidRPr="00A858D5">
        <w:rPr>
          <w:lang w:val="en-GB"/>
        </w:rPr>
        <w:t>7</w:t>
      </w:r>
      <w:r w:rsidR="004971BE" w:rsidRPr="00A858D5">
        <w:rPr>
          <w:lang w:val="en-GB"/>
        </w:rPr>
        <w:t>,</w:t>
      </w:r>
      <w:r w:rsidR="00687375" w:rsidRPr="00A858D5">
        <w:rPr>
          <w:lang w:val="en-GB"/>
        </w:rPr>
        <w:t>629</w:t>
      </w:r>
      <w:r w:rsidR="004971BE" w:rsidRPr="00A858D5">
        <w:rPr>
          <w:lang w:val="en-GB"/>
        </w:rPr>
        <w:t xml:space="preserve">) </w:t>
      </w:r>
      <w:r w:rsidR="003F1A25" w:rsidRPr="00A858D5">
        <w:rPr>
          <w:lang w:val="en-GB"/>
        </w:rPr>
        <w:t xml:space="preserve">of men and </w:t>
      </w:r>
      <w:r w:rsidR="00CF41A5" w:rsidRPr="00A858D5">
        <w:rPr>
          <w:lang w:val="en-GB"/>
        </w:rPr>
        <w:t>8</w:t>
      </w:r>
      <w:r w:rsidR="003F1A25" w:rsidRPr="00A858D5">
        <w:rPr>
          <w:lang w:val="en-GB"/>
        </w:rPr>
        <w:t xml:space="preserve">% </w:t>
      </w:r>
      <w:r w:rsidR="004971BE" w:rsidRPr="00A858D5">
        <w:rPr>
          <w:lang w:val="en-GB"/>
        </w:rPr>
        <w:t>(N=</w:t>
      </w:r>
      <w:r w:rsidR="00687375" w:rsidRPr="00A858D5">
        <w:rPr>
          <w:lang w:val="en-GB"/>
        </w:rPr>
        <w:t>22</w:t>
      </w:r>
      <w:r w:rsidR="006A5761" w:rsidRPr="00A858D5">
        <w:rPr>
          <w:lang w:val="en-GB"/>
        </w:rPr>
        <w:t>,</w:t>
      </w:r>
      <w:r w:rsidR="00687375" w:rsidRPr="00A858D5">
        <w:rPr>
          <w:lang w:val="en-GB"/>
        </w:rPr>
        <w:t>824</w:t>
      </w:r>
      <w:r w:rsidR="004971BE" w:rsidRPr="00A858D5">
        <w:rPr>
          <w:lang w:val="en-GB"/>
        </w:rPr>
        <w:t xml:space="preserve">) </w:t>
      </w:r>
      <w:r w:rsidR="003F1A25" w:rsidRPr="00A858D5">
        <w:rPr>
          <w:lang w:val="en-GB"/>
        </w:rPr>
        <w:t xml:space="preserve">of women emigrated from </w:t>
      </w:r>
      <w:r w:rsidR="00B306C1" w:rsidRPr="00A858D5">
        <w:rPr>
          <w:lang w:val="en-GB"/>
        </w:rPr>
        <w:t>the BCR</w:t>
      </w:r>
      <w:r w:rsidR="003F1A25" w:rsidRPr="00A858D5">
        <w:rPr>
          <w:lang w:val="en-GB"/>
        </w:rPr>
        <w:t>.</w:t>
      </w:r>
      <w:r w:rsidR="00033F6C" w:rsidRPr="00A858D5">
        <w:rPr>
          <w:lang w:val="en-GB"/>
        </w:rPr>
        <w:t xml:space="preserve"> </w:t>
      </w:r>
      <w:r w:rsidR="00A70A40" w:rsidRPr="00A858D5">
        <w:rPr>
          <w:lang w:val="en-GB"/>
        </w:rPr>
        <w:t>D</w:t>
      </w:r>
      <w:r w:rsidR="00525628" w:rsidRPr="00A858D5">
        <w:rPr>
          <w:lang w:val="en-GB"/>
        </w:rPr>
        <w:t>eaths from natural causes</w:t>
      </w:r>
      <w:r w:rsidR="00525728" w:rsidRPr="00A858D5">
        <w:rPr>
          <w:lang w:val="en-GB"/>
        </w:rPr>
        <w:t xml:space="preserve"> during follow-up</w:t>
      </w:r>
      <w:r w:rsidR="00E27250" w:rsidRPr="00A858D5">
        <w:rPr>
          <w:lang w:val="en-GB"/>
        </w:rPr>
        <w:t xml:space="preserve"> were</w:t>
      </w:r>
      <w:r w:rsidR="00D77AD5" w:rsidRPr="00A858D5">
        <w:rPr>
          <w:lang w:val="en-GB"/>
        </w:rPr>
        <w:t xml:space="preserve"> slightly</w:t>
      </w:r>
      <w:r w:rsidR="00E27250" w:rsidRPr="00A858D5">
        <w:rPr>
          <w:lang w:val="en-GB"/>
        </w:rPr>
        <w:t xml:space="preserve"> higher</w:t>
      </w:r>
      <w:r w:rsidR="006309A3" w:rsidRPr="00A858D5">
        <w:rPr>
          <w:lang w:val="en-GB"/>
        </w:rPr>
        <w:t xml:space="preserve"> among men than among women (</w:t>
      </w:r>
      <w:r w:rsidR="008E1D8F" w:rsidRPr="00A858D5">
        <w:rPr>
          <w:lang w:val="en-GB"/>
        </w:rPr>
        <w:t>14</w:t>
      </w:r>
      <w:r w:rsidR="006309A3" w:rsidRPr="00A858D5">
        <w:rPr>
          <w:lang w:val="en-GB"/>
        </w:rPr>
        <w:t xml:space="preserve">% vs </w:t>
      </w:r>
      <w:r w:rsidR="008E1D8F" w:rsidRPr="00A858D5">
        <w:rPr>
          <w:lang w:val="en-GB"/>
        </w:rPr>
        <w:t>12</w:t>
      </w:r>
      <w:r w:rsidR="006309A3" w:rsidRPr="00A858D5">
        <w:rPr>
          <w:lang w:val="en-GB"/>
        </w:rPr>
        <w:t>%)</w:t>
      </w:r>
      <w:r w:rsidR="00E27250" w:rsidRPr="00A858D5">
        <w:rPr>
          <w:lang w:val="en-GB"/>
        </w:rPr>
        <w:t>, while</w:t>
      </w:r>
      <w:r w:rsidR="00B71660" w:rsidRPr="00A858D5">
        <w:rPr>
          <w:lang w:val="en-GB"/>
        </w:rPr>
        <w:t xml:space="preserve"> in 2001,</w:t>
      </w:r>
      <w:r w:rsidR="00A514F6" w:rsidRPr="00A858D5">
        <w:rPr>
          <w:lang w:val="en-GB"/>
        </w:rPr>
        <w:t xml:space="preserve"> </w:t>
      </w:r>
      <w:r w:rsidR="008328C9" w:rsidRPr="00A858D5">
        <w:rPr>
          <w:lang w:val="en-GB"/>
        </w:rPr>
        <w:t>more women reported having</w:t>
      </w:r>
      <w:r w:rsidR="00A514F6" w:rsidRPr="00A858D5">
        <w:rPr>
          <w:lang w:val="en-GB"/>
        </w:rPr>
        <w:t xml:space="preserve"> </w:t>
      </w:r>
      <w:r w:rsidR="002D6032" w:rsidRPr="00A858D5">
        <w:rPr>
          <w:lang w:val="en-GB"/>
        </w:rPr>
        <w:t>poor self-perceived health (</w:t>
      </w:r>
      <w:r w:rsidR="006A5761" w:rsidRPr="00A858D5">
        <w:rPr>
          <w:lang w:val="en-GB"/>
        </w:rPr>
        <w:t>29</w:t>
      </w:r>
      <w:r w:rsidR="002D6032" w:rsidRPr="00A858D5">
        <w:rPr>
          <w:lang w:val="en-GB"/>
        </w:rPr>
        <w:t xml:space="preserve">%) </w:t>
      </w:r>
      <w:r w:rsidR="007D5B1D" w:rsidRPr="00A858D5">
        <w:rPr>
          <w:lang w:val="en-GB"/>
        </w:rPr>
        <w:t>than</w:t>
      </w:r>
      <w:r w:rsidR="002D6032" w:rsidRPr="00A858D5">
        <w:rPr>
          <w:lang w:val="en-GB"/>
        </w:rPr>
        <w:t xml:space="preserve"> men (</w:t>
      </w:r>
      <w:r w:rsidR="006A5761" w:rsidRPr="00A858D5">
        <w:rPr>
          <w:lang w:val="en-GB"/>
        </w:rPr>
        <w:t>25</w:t>
      </w:r>
      <w:r w:rsidR="002D6032" w:rsidRPr="00A858D5">
        <w:rPr>
          <w:lang w:val="en-GB"/>
        </w:rPr>
        <w:t>%).</w:t>
      </w:r>
    </w:p>
    <w:p w14:paraId="552E16D9" w14:textId="642F5D45" w:rsidR="002F1C14" w:rsidRDefault="002F1C14" w:rsidP="006F2FE2">
      <w:pPr>
        <w:rPr>
          <w:lang w:val="en-GB"/>
        </w:rPr>
      </w:pPr>
    </w:p>
    <w:p w14:paraId="081A0320" w14:textId="68F69B0B" w:rsidR="002F1C14" w:rsidRDefault="002F1C14" w:rsidP="006F2FE2">
      <w:pPr>
        <w:rPr>
          <w:lang w:val="en-GB"/>
        </w:rPr>
      </w:pPr>
    </w:p>
    <w:p w14:paraId="57A6EC95" w14:textId="39CEE613" w:rsidR="002F1C14" w:rsidRDefault="002F1C14" w:rsidP="006F2FE2">
      <w:pPr>
        <w:rPr>
          <w:lang w:val="en-GB"/>
        </w:rPr>
      </w:pPr>
    </w:p>
    <w:p w14:paraId="515D277D" w14:textId="7DC0D646" w:rsidR="002F1C14" w:rsidRDefault="002F1C14" w:rsidP="006F2FE2">
      <w:pPr>
        <w:rPr>
          <w:lang w:val="en-GB"/>
        </w:rPr>
      </w:pPr>
    </w:p>
    <w:p w14:paraId="69E942E6" w14:textId="77777777" w:rsidR="002F1C14" w:rsidRPr="00A858D5" w:rsidRDefault="002F1C14" w:rsidP="006F2FE2">
      <w:pPr>
        <w:rPr>
          <w:lang w:val="en-GB"/>
        </w:rPr>
      </w:pPr>
    </w:p>
    <w:p w14:paraId="2A680BCE" w14:textId="6F6885D2" w:rsidR="00B52147" w:rsidRPr="00A858D5" w:rsidRDefault="00B52147" w:rsidP="006F2FE2">
      <w:pPr>
        <w:rPr>
          <w:lang w:val="en-GB"/>
        </w:rPr>
      </w:pPr>
    </w:p>
    <w:tbl>
      <w:tblPr>
        <w:tblW w:w="5176" w:type="pct"/>
        <w:tblLook w:val="04A0" w:firstRow="1" w:lastRow="0" w:firstColumn="1" w:lastColumn="0" w:noHBand="0" w:noVBand="1"/>
      </w:tblPr>
      <w:tblGrid>
        <w:gridCol w:w="274"/>
        <w:gridCol w:w="4609"/>
        <w:gridCol w:w="1485"/>
        <w:gridCol w:w="1485"/>
        <w:gridCol w:w="1485"/>
      </w:tblGrid>
      <w:tr w:rsidR="00A430D5" w:rsidRPr="00A858D5" w14:paraId="683FA0C2" w14:textId="77777777" w:rsidTr="00A430D5">
        <w:trPr>
          <w:trHeight w:val="303"/>
        </w:trPr>
        <w:tc>
          <w:tcPr>
            <w:tcW w:w="147" w:type="pct"/>
            <w:tcBorders>
              <w:top w:val="single" w:sz="4" w:space="0" w:color="auto"/>
              <w:left w:val="nil"/>
              <w:bottom w:val="single" w:sz="4" w:space="0" w:color="auto"/>
              <w:right w:val="nil"/>
            </w:tcBorders>
            <w:shd w:val="clear" w:color="auto" w:fill="auto"/>
            <w:noWrap/>
            <w:vAlign w:val="bottom"/>
            <w:hideMark/>
          </w:tcPr>
          <w:p w14:paraId="31EC4395"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lastRenderedPageBreak/>
              <w:t> </w:t>
            </w:r>
          </w:p>
        </w:tc>
        <w:tc>
          <w:tcPr>
            <w:tcW w:w="2468" w:type="pct"/>
            <w:tcBorders>
              <w:top w:val="single" w:sz="4" w:space="0" w:color="auto"/>
              <w:left w:val="nil"/>
              <w:bottom w:val="single" w:sz="4" w:space="0" w:color="auto"/>
              <w:right w:val="nil"/>
            </w:tcBorders>
            <w:shd w:val="clear" w:color="auto" w:fill="auto"/>
            <w:noWrap/>
            <w:vAlign w:val="bottom"/>
            <w:hideMark/>
          </w:tcPr>
          <w:p w14:paraId="4FE97CF3"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 </w:t>
            </w:r>
          </w:p>
        </w:tc>
        <w:tc>
          <w:tcPr>
            <w:tcW w:w="795" w:type="pct"/>
            <w:tcBorders>
              <w:top w:val="single" w:sz="4" w:space="0" w:color="auto"/>
              <w:left w:val="nil"/>
              <w:bottom w:val="single" w:sz="4" w:space="0" w:color="auto"/>
              <w:right w:val="nil"/>
            </w:tcBorders>
            <w:shd w:val="clear" w:color="auto" w:fill="auto"/>
            <w:noWrap/>
            <w:vAlign w:val="center"/>
            <w:hideMark/>
          </w:tcPr>
          <w:p w14:paraId="4B6B5D9A" w14:textId="77777777" w:rsidR="00A430D5" w:rsidRPr="00A858D5" w:rsidRDefault="00A430D5" w:rsidP="001745CB">
            <w:pPr>
              <w:jc w:val="center"/>
              <w:rPr>
                <w:rFonts w:ascii="Calibri" w:hAnsi="Calibri" w:cs="Calibri"/>
                <w:b/>
                <w:bCs/>
                <w:sz w:val="21"/>
                <w:szCs w:val="21"/>
                <w:lang w:val="en-GB"/>
              </w:rPr>
            </w:pPr>
            <w:r w:rsidRPr="00A858D5">
              <w:rPr>
                <w:rFonts w:ascii="Calibri" w:hAnsi="Calibri" w:cs="Calibri"/>
                <w:b/>
                <w:bCs/>
                <w:sz w:val="21"/>
                <w:szCs w:val="21"/>
                <w:lang w:val="en-GB"/>
              </w:rPr>
              <w:t>Total</w:t>
            </w:r>
          </w:p>
        </w:tc>
        <w:tc>
          <w:tcPr>
            <w:tcW w:w="795" w:type="pct"/>
            <w:tcBorders>
              <w:top w:val="single" w:sz="4" w:space="0" w:color="auto"/>
              <w:left w:val="nil"/>
              <w:bottom w:val="single" w:sz="4" w:space="0" w:color="auto"/>
              <w:right w:val="nil"/>
            </w:tcBorders>
            <w:shd w:val="clear" w:color="auto" w:fill="auto"/>
            <w:noWrap/>
            <w:vAlign w:val="center"/>
            <w:hideMark/>
          </w:tcPr>
          <w:p w14:paraId="70F2C94A" w14:textId="77777777" w:rsidR="00A430D5" w:rsidRPr="00A858D5" w:rsidRDefault="00A430D5" w:rsidP="001745CB">
            <w:pPr>
              <w:jc w:val="center"/>
              <w:rPr>
                <w:rFonts w:ascii="Calibri" w:hAnsi="Calibri" w:cs="Calibri"/>
                <w:b/>
                <w:bCs/>
                <w:sz w:val="21"/>
                <w:szCs w:val="21"/>
                <w:lang w:val="en-GB"/>
              </w:rPr>
            </w:pPr>
            <w:r w:rsidRPr="00A858D5">
              <w:rPr>
                <w:rFonts w:ascii="Calibri" w:hAnsi="Calibri" w:cs="Calibri"/>
                <w:b/>
                <w:bCs/>
                <w:sz w:val="21"/>
                <w:szCs w:val="21"/>
                <w:lang w:val="en-GB"/>
              </w:rPr>
              <w:t>Women</w:t>
            </w:r>
          </w:p>
        </w:tc>
        <w:tc>
          <w:tcPr>
            <w:tcW w:w="795" w:type="pct"/>
            <w:tcBorders>
              <w:top w:val="single" w:sz="4" w:space="0" w:color="auto"/>
              <w:left w:val="nil"/>
              <w:bottom w:val="single" w:sz="4" w:space="0" w:color="auto"/>
              <w:right w:val="nil"/>
            </w:tcBorders>
            <w:shd w:val="clear" w:color="auto" w:fill="auto"/>
            <w:noWrap/>
            <w:vAlign w:val="center"/>
            <w:hideMark/>
          </w:tcPr>
          <w:p w14:paraId="2D210EC0" w14:textId="77777777" w:rsidR="00A430D5" w:rsidRPr="00A858D5" w:rsidRDefault="00A430D5" w:rsidP="001745CB">
            <w:pPr>
              <w:jc w:val="center"/>
              <w:rPr>
                <w:rFonts w:ascii="Calibri" w:hAnsi="Calibri" w:cs="Calibri"/>
                <w:b/>
                <w:bCs/>
                <w:sz w:val="21"/>
                <w:szCs w:val="21"/>
                <w:lang w:val="en-GB"/>
              </w:rPr>
            </w:pPr>
            <w:r w:rsidRPr="00A858D5">
              <w:rPr>
                <w:rFonts w:ascii="Calibri" w:hAnsi="Calibri" w:cs="Calibri"/>
                <w:b/>
                <w:bCs/>
                <w:sz w:val="21"/>
                <w:szCs w:val="21"/>
                <w:lang w:val="en-GB"/>
              </w:rPr>
              <w:t>Men</w:t>
            </w:r>
          </w:p>
        </w:tc>
      </w:tr>
      <w:tr w:rsidR="00A430D5" w:rsidRPr="00A858D5" w14:paraId="23CD1942" w14:textId="77777777" w:rsidTr="00A430D5">
        <w:trPr>
          <w:trHeight w:val="303"/>
        </w:trPr>
        <w:tc>
          <w:tcPr>
            <w:tcW w:w="147" w:type="pct"/>
            <w:tcBorders>
              <w:top w:val="nil"/>
              <w:left w:val="nil"/>
              <w:bottom w:val="single" w:sz="4" w:space="0" w:color="auto"/>
              <w:right w:val="nil"/>
            </w:tcBorders>
            <w:shd w:val="clear" w:color="auto" w:fill="auto"/>
            <w:noWrap/>
            <w:vAlign w:val="bottom"/>
            <w:hideMark/>
          </w:tcPr>
          <w:p w14:paraId="6C07177A"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 </w:t>
            </w:r>
          </w:p>
        </w:tc>
        <w:tc>
          <w:tcPr>
            <w:tcW w:w="2468" w:type="pct"/>
            <w:tcBorders>
              <w:top w:val="nil"/>
              <w:left w:val="nil"/>
              <w:bottom w:val="single" w:sz="4" w:space="0" w:color="auto"/>
              <w:right w:val="nil"/>
            </w:tcBorders>
            <w:shd w:val="clear" w:color="auto" w:fill="auto"/>
            <w:noWrap/>
            <w:vAlign w:val="bottom"/>
            <w:hideMark/>
          </w:tcPr>
          <w:p w14:paraId="671C9DD3"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 </w:t>
            </w:r>
          </w:p>
        </w:tc>
        <w:tc>
          <w:tcPr>
            <w:tcW w:w="795" w:type="pct"/>
            <w:tcBorders>
              <w:top w:val="single" w:sz="4" w:space="0" w:color="auto"/>
              <w:left w:val="nil"/>
              <w:bottom w:val="single" w:sz="4" w:space="0" w:color="auto"/>
              <w:right w:val="nil"/>
            </w:tcBorders>
            <w:shd w:val="clear" w:color="auto" w:fill="auto"/>
            <w:noWrap/>
            <w:vAlign w:val="center"/>
            <w:hideMark/>
          </w:tcPr>
          <w:p w14:paraId="4FDFA741" w14:textId="77777777" w:rsidR="00A430D5" w:rsidRPr="00A858D5" w:rsidRDefault="00A430D5" w:rsidP="001745CB">
            <w:pPr>
              <w:jc w:val="center"/>
              <w:rPr>
                <w:rFonts w:ascii="Calibri" w:hAnsi="Calibri" w:cs="Calibri"/>
                <w:b/>
                <w:bCs/>
                <w:sz w:val="21"/>
                <w:szCs w:val="21"/>
                <w:lang w:val="en-GB"/>
              </w:rPr>
            </w:pPr>
            <w:r w:rsidRPr="00A858D5">
              <w:rPr>
                <w:rFonts w:ascii="Calibri" w:hAnsi="Calibri" w:cs="Calibri"/>
                <w:b/>
                <w:bCs/>
                <w:sz w:val="21"/>
                <w:szCs w:val="21"/>
                <w:lang w:val="en-GB"/>
              </w:rPr>
              <w:t>N = 571,558</w:t>
            </w:r>
          </w:p>
        </w:tc>
        <w:tc>
          <w:tcPr>
            <w:tcW w:w="795" w:type="pct"/>
            <w:tcBorders>
              <w:top w:val="single" w:sz="4" w:space="0" w:color="auto"/>
              <w:left w:val="nil"/>
              <w:bottom w:val="single" w:sz="4" w:space="0" w:color="auto"/>
              <w:right w:val="nil"/>
            </w:tcBorders>
            <w:shd w:val="clear" w:color="auto" w:fill="auto"/>
            <w:noWrap/>
            <w:vAlign w:val="center"/>
            <w:hideMark/>
          </w:tcPr>
          <w:p w14:paraId="52204F44" w14:textId="77777777" w:rsidR="00A430D5" w:rsidRPr="00A858D5" w:rsidRDefault="00A430D5" w:rsidP="001745CB">
            <w:pPr>
              <w:jc w:val="center"/>
              <w:rPr>
                <w:rFonts w:ascii="Calibri" w:hAnsi="Calibri" w:cs="Calibri"/>
                <w:b/>
                <w:bCs/>
                <w:sz w:val="21"/>
                <w:szCs w:val="21"/>
                <w:lang w:val="en-GB"/>
              </w:rPr>
            </w:pPr>
            <w:r w:rsidRPr="00A858D5">
              <w:rPr>
                <w:rFonts w:ascii="Calibri" w:hAnsi="Calibri" w:cs="Calibri"/>
                <w:b/>
                <w:bCs/>
                <w:sz w:val="21"/>
                <w:szCs w:val="21"/>
                <w:lang w:val="en-GB"/>
              </w:rPr>
              <w:t>N = 272,345</w:t>
            </w:r>
          </w:p>
        </w:tc>
        <w:tc>
          <w:tcPr>
            <w:tcW w:w="795" w:type="pct"/>
            <w:tcBorders>
              <w:top w:val="single" w:sz="4" w:space="0" w:color="auto"/>
              <w:left w:val="nil"/>
              <w:bottom w:val="single" w:sz="4" w:space="0" w:color="auto"/>
              <w:right w:val="nil"/>
            </w:tcBorders>
            <w:shd w:val="clear" w:color="auto" w:fill="auto"/>
            <w:noWrap/>
            <w:vAlign w:val="center"/>
            <w:hideMark/>
          </w:tcPr>
          <w:p w14:paraId="3C8DB7B3" w14:textId="77777777" w:rsidR="00A430D5" w:rsidRPr="00A858D5" w:rsidRDefault="00A430D5" w:rsidP="001745CB">
            <w:pPr>
              <w:jc w:val="center"/>
              <w:rPr>
                <w:rFonts w:ascii="Calibri" w:hAnsi="Calibri" w:cs="Calibri"/>
                <w:b/>
                <w:bCs/>
                <w:sz w:val="21"/>
                <w:szCs w:val="21"/>
                <w:lang w:val="en-GB"/>
              </w:rPr>
            </w:pPr>
            <w:r w:rsidRPr="00A858D5">
              <w:rPr>
                <w:rFonts w:ascii="Calibri" w:hAnsi="Calibri" w:cs="Calibri"/>
                <w:b/>
                <w:bCs/>
                <w:sz w:val="21"/>
                <w:szCs w:val="21"/>
                <w:lang w:val="en-GB"/>
              </w:rPr>
              <w:t>N = 299,213</w:t>
            </w:r>
          </w:p>
        </w:tc>
      </w:tr>
      <w:tr w:rsidR="00A430D5" w:rsidRPr="00A858D5" w14:paraId="7C92CEA4"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0E4EBA8B"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Age at baseline, mean ± SD</w:t>
            </w:r>
          </w:p>
        </w:tc>
        <w:tc>
          <w:tcPr>
            <w:tcW w:w="795" w:type="pct"/>
            <w:tcBorders>
              <w:top w:val="nil"/>
              <w:left w:val="nil"/>
              <w:bottom w:val="single" w:sz="4" w:space="0" w:color="auto"/>
              <w:right w:val="nil"/>
            </w:tcBorders>
            <w:shd w:val="clear" w:color="auto" w:fill="auto"/>
            <w:noWrap/>
            <w:vAlign w:val="center"/>
            <w:hideMark/>
          </w:tcPr>
          <w:p w14:paraId="7D57177F"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 xml:space="preserve">44 </w:t>
            </w:r>
            <w:r w:rsidRPr="00A858D5">
              <w:rPr>
                <w:rFonts w:ascii="Calibri" w:hAnsi="Calibri" w:cs="Calibri"/>
                <w:b/>
                <w:bCs/>
                <w:sz w:val="21"/>
                <w:szCs w:val="21"/>
                <w:lang w:val="en-GB"/>
              </w:rPr>
              <w:t xml:space="preserve">± </w:t>
            </w:r>
            <w:r w:rsidRPr="00A858D5">
              <w:rPr>
                <w:rFonts w:ascii="Calibri" w:hAnsi="Calibri" w:cs="Calibri"/>
                <w:sz w:val="21"/>
                <w:szCs w:val="21"/>
                <w:lang w:val="en-GB"/>
              </w:rPr>
              <w:t>17.1</w:t>
            </w:r>
          </w:p>
        </w:tc>
        <w:tc>
          <w:tcPr>
            <w:tcW w:w="795" w:type="pct"/>
            <w:tcBorders>
              <w:top w:val="nil"/>
              <w:left w:val="nil"/>
              <w:bottom w:val="single" w:sz="4" w:space="0" w:color="auto"/>
              <w:right w:val="nil"/>
            </w:tcBorders>
            <w:shd w:val="clear" w:color="auto" w:fill="auto"/>
            <w:noWrap/>
            <w:vAlign w:val="center"/>
            <w:hideMark/>
          </w:tcPr>
          <w:p w14:paraId="112D5B66"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 xml:space="preserve">44 </w:t>
            </w:r>
            <w:r w:rsidRPr="00A858D5">
              <w:rPr>
                <w:rFonts w:ascii="Calibri" w:hAnsi="Calibri" w:cs="Calibri"/>
                <w:b/>
                <w:bCs/>
                <w:sz w:val="21"/>
                <w:szCs w:val="21"/>
                <w:lang w:val="en-GB"/>
              </w:rPr>
              <w:t xml:space="preserve">± </w:t>
            </w:r>
            <w:r w:rsidRPr="00A858D5">
              <w:rPr>
                <w:rFonts w:ascii="Calibri" w:hAnsi="Calibri" w:cs="Calibri"/>
                <w:sz w:val="21"/>
                <w:szCs w:val="21"/>
                <w:lang w:val="en-GB"/>
              </w:rPr>
              <w:t>17.4</w:t>
            </w:r>
          </w:p>
        </w:tc>
        <w:tc>
          <w:tcPr>
            <w:tcW w:w="795" w:type="pct"/>
            <w:tcBorders>
              <w:top w:val="nil"/>
              <w:left w:val="nil"/>
              <w:bottom w:val="single" w:sz="4" w:space="0" w:color="auto"/>
              <w:right w:val="nil"/>
            </w:tcBorders>
            <w:shd w:val="clear" w:color="auto" w:fill="auto"/>
            <w:noWrap/>
            <w:vAlign w:val="center"/>
            <w:hideMark/>
          </w:tcPr>
          <w:p w14:paraId="14182010"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 xml:space="preserve">43 </w:t>
            </w:r>
            <w:r w:rsidRPr="00A858D5">
              <w:rPr>
                <w:rFonts w:ascii="Calibri" w:hAnsi="Calibri" w:cs="Calibri"/>
                <w:b/>
                <w:bCs/>
                <w:sz w:val="21"/>
                <w:szCs w:val="21"/>
                <w:lang w:val="en-GB"/>
              </w:rPr>
              <w:t xml:space="preserve">± </w:t>
            </w:r>
            <w:r w:rsidRPr="00A858D5">
              <w:rPr>
                <w:rFonts w:ascii="Calibri" w:hAnsi="Calibri" w:cs="Calibri"/>
                <w:sz w:val="21"/>
                <w:szCs w:val="21"/>
                <w:lang w:val="en-GB"/>
              </w:rPr>
              <w:t>16.7</w:t>
            </w:r>
          </w:p>
        </w:tc>
      </w:tr>
      <w:tr w:rsidR="00A430D5" w:rsidRPr="00A858D5" w14:paraId="48BA62CB"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270E58B3"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Poor self-perceived health, N (%)</w:t>
            </w:r>
          </w:p>
        </w:tc>
        <w:tc>
          <w:tcPr>
            <w:tcW w:w="795" w:type="pct"/>
            <w:tcBorders>
              <w:top w:val="nil"/>
              <w:left w:val="nil"/>
              <w:bottom w:val="single" w:sz="4" w:space="0" w:color="auto"/>
              <w:right w:val="nil"/>
            </w:tcBorders>
            <w:shd w:val="clear" w:color="auto" w:fill="auto"/>
            <w:noWrap/>
            <w:vAlign w:val="center"/>
            <w:hideMark/>
          </w:tcPr>
          <w:p w14:paraId="6C6D8CE3"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154,166 (27.0)</w:t>
            </w:r>
          </w:p>
        </w:tc>
        <w:tc>
          <w:tcPr>
            <w:tcW w:w="795" w:type="pct"/>
            <w:tcBorders>
              <w:top w:val="nil"/>
              <w:left w:val="nil"/>
              <w:bottom w:val="single" w:sz="4" w:space="0" w:color="auto"/>
              <w:right w:val="nil"/>
            </w:tcBorders>
            <w:shd w:val="clear" w:color="auto" w:fill="auto"/>
            <w:noWrap/>
            <w:vAlign w:val="center"/>
            <w:hideMark/>
          </w:tcPr>
          <w:p w14:paraId="41C2D3B4"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86,607 (28.9)</w:t>
            </w:r>
          </w:p>
        </w:tc>
        <w:tc>
          <w:tcPr>
            <w:tcW w:w="795" w:type="pct"/>
            <w:tcBorders>
              <w:top w:val="nil"/>
              <w:left w:val="nil"/>
              <w:bottom w:val="single" w:sz="4" w:space="0" w:color="auto"/>
              <w:right w:val="nil"/>
            </w:tcBorders>
            <w:shd w:val="clear" w:color="auto" w:fill="auto"/>
            <w:noWrap/>
            <w:vAlign w:val="center"/>
            <w:hideMark/>
          </w:tcPr>
          <w:p w14:paraId="6A408850"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67,559 (24.8)</w:t>
            </w:r>
          </w:p>
        </w:tc>
      </w:tr>
      <w:tr w:rsidR="00A430D5" w:rsidRPr="00A858D5" w14:paraId="5753050B"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316CD7A5"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Deaths due to natural causes (2001-2014), N (%)</w:t>
            </w:r>
          </w:p>
        </w:tc>
        <w:tc>
          <w:tcPr>
            <w:tcW w:w="795" w:type="pct"/>
            <w:tcBorders>
              <w:top w:val="nil"/>
              <w:left w:val="nil"/>
              <w:bottom w:val="single" w:sz="4" w:space="0" w:color="auto"/>
              <w:right w:val="nil"/>
            </w:tcBorders>
            <w:shd w:val="clear" w:color="auto" w:fill="auto"/>
            <w:noWrap/>
            <w:vAlign w:val="center"/>
            <w:hideMark/>
          </w:tcPr>
          <w:p w14:paraId="37999CE0"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72,355 (12.7)</w:t>
            </w:r>
          </w:p>
        </w:tc>
        <w:tc>
          <w:tcPr>
            <w:tcW w:w="795" w:type="pct"/>
            <w:tcBorders>
              <w:top w:val="nil"/>
              <w:left w:val="nil"/>
              <w:bottom w:val="single" w:sz="4" w:space="0" w:color="auto"/>
              <w:right w:val="nil"/>
            </w:tcBorders>
            <w:shd w:val="clear" w:color="auto" w:fill="auto"/>
            <w:noWrap/>
            <w:vAlign w:val="center"/>
            <w:hideMark/>
          </w:tcPr>
          <w:p w14:paraId="1B23FF3D"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34,715 (11.6)</w:t>
            </w:r>
          </w:p>
        </w:tc>
        <w:tc>
          <w:tcPr>
            <w:tcW w:w="795" w:type="pct"/>
            <w:tcBorders>
              <w:top w:val="nil"/>
              <w:left w:val="nil"/>
              <w:bottom w:val="single" w:sz="4" w:space="0" w:color="auto"/>
              <w:right w:val="nil"/>
            </w:tcBorders>
            <w:shd w:val="clear" w:color="auto" w:fill="auto"/>
            <w:noWrap/>
            <w:vAlign w:val="center"/>
            <w:hideMark/>
          </w:tcPr>
          <w:p w14:paraId="4F039409"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37,640 (13.8)</w:t>
            </w:r>
          </w:p>
        </w:tc>
      </w:tr>
      <w:tr w:rsidR="00A430D5" w:rsidRPr="00A858D5" w14:paraId="4DF7E686"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26F566CA"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Emigrations (2001-2014), N (%)</w:t>
            </w:r>
          </w:p>
        </w:tc>
        <w:tc>
          <w:tcPr>
            <w:tcW w:w="795" w:type="pct"/>
            <w:tcBorders>
              <w:top w:val="nil"/>
              <w:left w:val="nil"/>
              <w:bottom w:val="single" w:sz="4" w:space="0" w:color="auto"/>
              <w:right w:val="nil"/>
            </w:tcBorders>
            <w:shd w:val="clear" w:color="auto" w:fill="auto"/>
            <w:noWrap/>
            <w:vAlign w:val="center"/>
            <w:hideMark/>
          </w:tcPr>
          <w:p w14:paraId="2F752D86"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50,453 (8.8)</w:t>
            </w:r>
          </w:p>
        </w:tc>
        <w:tc>
          <w:tcPr>
            <w:tcW w:w="795" w:type="pct"/>
            <w:tcBorders>
              <w:top w:val="nil"/>
              <w:left w:val="nil"/>
              <w:bottom w:val="single" w:sz="4" w:space="0" w:color="auto"/>
              <w:right w:val="nil"/>
            </w:tcBorders>
            <w:shd w:val="clear" w:color="auto" w:fill="auto"/>
            <w:noWrap/>
            <w:vAlign w:val="center"/>
            <w:hideMark/>
          </w:tcPr>
          <w:p w14:paraId="3D6034DD"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22,824 (8.4)</w:t>
            </w:r>
          </w:p>
        </w:tc>
        <w:tc>
          <w:tcPr>
            <w:tcW w:w="795" w:type="pct"/>
            <w:tcBorders>
              <w:top w:val="nil"/>
              <w:left w:val="nil"/>
              <w:bottom w:val="single" w:sz="4" w:space="0" w:color="auto"/>
              <w:right w:val="nil"/>
            </w:tcBorders>
            <w:shd w:val="clear" w:color="auto" w:fill="auto"/>
            <w:noWrap/>
            <w:vAlign w:val="center"/>
            <w:hideMark/>
          </w:tcPr>
          <w:p w14:paraId="2ED8CB31"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27,629 (9.2)</w:t>
            </w:r>
          </w:p>
        </w:tc>
      </w:tr>
      <w:tr w:rsidR="00A430D5" w:rsidRPr="00A858D5" w14:paraId="2628E477"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3A5386B6"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Migrant background, N (%)</w:t>
            </w:r>
          </w:p>
        </w:tc>
        <w:tc>
          <w:tcPr>
            <w:tcW w:w="795" w:type="pct"/>
            <w:tcBorders>
              <w:top w:val="nil"/>
              <w:left w:val="nil"/>
              <w:bottom w:val="single" w:sz="4" w:space="0" w:color="auto"/>
              <w:right w:val="nil"/>
            </w:tcBorders>
            <w:shd w:val="clear" w:color="auto" w:fill="auto"/>
            <w:noWrap/>
            <w:vAlign w:val="center"/>
            <w:hideMark/>
          </w:tcPr>
          <w:p w14:paraId="3163BA67"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59F2C36E"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51402DC6" w14:textId="77777777" w:rsidR="00A430D5" w:rsidRPr="00A858D5" w:rsidRDefault="00A430D5" w:rsidP="001745CB">
            <w:pPr>
              <w:jc w:val="center"/>
              <w:rPr>
                <w:rFonts w:ascii="Calibri" w:hAnsi="Calibri" w:cs="Calibri"/>
                <w:sz w:val="21"/>
                <w:szCs w:val="21"/>
                <w:lang w:val="en-GB"/>
              </w:rPr>
            </w:pPr>
          </w:p>
        </w:tc>
      </w:tr>
      <w:tr w:rsidR="00A430D5" w:rsidRPr="00A858D5" w14:paraId="5D52E539" w14:textId="77777777" w:rsidTr="00A430D5">
        <w:trPr>
          <w:trHeight w:val="303"/>
        </w:trPr>
        <w:tc>
          <w:tcPr>
            <w:tcW w:w="147" w:type="pct"/>
            <w:tcBorders>
              <w:top w:val="nil"/>
              <w:left w:val="nil"/>
              <w:bottom w:val="nil"/>
              <w:right w:val="nil"/>
            </w:tcBorders>
            <w:shd w:val="clear" w:color="auto" w:fill="auto"/>
            <w:noWrap/>
            <w:vAlign w:val="center"/>
            <w:hideMark/>
          </w:tcPr>
          <w:p w14:paraId="09D1736A" w14:textId="77777777" w:rsidR="00A430D5" w:rsidRPr="00A858D5" w:rsidRDefault="00A430D5" w:rsidP="001745CB">
            <w:pPr>
              <w:rPr>
                <w:rFonts w:ascii="Calibri" w:hAnsi="Calibri" w:cs="Calibri"/>
                <w:sz w:val="21"/>
                <w:szCs w:val="21"/>
                <w:lang w:val="en-GB"/>
              </w:rPr>
            </w:pPr>
          </w:p>
        </w:tc>
        <w:tc>
          <w:tcPr>
            <w:tcW w:w="2468" w:type="pct"/>
            <w:tcBorders>
              <w:top w:val="nil"/>
              <w:left w:val="nil"/>
              <w:bottom w:val="nil"/>
              <w:right w:val="nil"/>
            </w:tcBorders>
            <w:shd w:val="clear" w:color="auto" w:fill="auto"/>
            <w:noWrap/>
            <w:vAlign w:val="center"/>
            <w:hideMark/>
          </w:tcPr>
          <w:p w14:paraId="4345563D"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Belgian</w:t>
            </w:r>
          </w:p>
        </w:tc>
        <w:tc>
          <w:tcPr>
            <w:tcW w:w="795" w:type="pct"/>
            <w:tcBorders>
              <w:top w:val="nil"/>
              <w:left w:val="nil"/>
              <w:bottom w:val="nil"/>
              <w:right w:val="nil"/>
            </w:tcBorders>
            <w:shd w:val="clear" w:color="auto" w:fill="auto"/>
            <w:noWrap/>
            <w:vAlign w:val="center"/>
            <w:hideMark/>
          </w:tcPr>
          <w:p w14:paraId="560A4CDB"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323,361 (56.6)</w:t>
            </w:r>
          </w:p>
        </w:tc>
        <w:tc>
          <w:tcPr>
            <w:tcW w:w="795" w:type="pct"/>
            <w:tcBorders>
              <w:top w:val="nil"/>
              <w:left w:val="nil"/>
              <w:bottom w:val="nil"/>
              <w:right w:val="nil"/>
            </w:tcBorders>
            <w:shd w:val="clear" w:color="auto" w:fill="auto"/>
            <w:noWrap/>
            <w:vAlign w:val="center"/>
            <w:hideMark/>
          </w:tcPr>
          <w:p w14:paraId="64336092"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173,528 (58.0)</w:t>
            </w:r>
          </w:p>
        </w:tc>
        <w:tc>
          <w:tcPr>
            <w:tcW w:w="795" w:type="pct"/>
            <w:tcBorders>
              <w:top w:val="nil"/>
              <w:left w:val="nil"/>
              <w:bottom w:val="nil"/>
              <w:right w:val="nil"/>
            </w:tcBorders>
            <w:shd w:val="clear" w:color="auto" w:fill="auto"/>
            <w:noWrap/>
            <w:vAlign w:val="center"/>
            <w:hideMark/>
          </w:tcPr>
          <w:p w14:paraId="220CBA46"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149,833 (55.0)</w:t>
            </w:r>
          </w:p>
        </w:tc>
      </w:tr>
      <w:tr w:rsidR="00A430D5" w:rsidRPr="00A858D5" w14:paraId="39792B6D" w14:textId="77777777" w:rsidTr="00A430D5">
        <w:trPr>
          <w:trHeight w:val="303"/>
        </w:trPr>
        <w:tc>
          <w:tcPr>
            <w:tcW w:w="147" w:type="pct"/>
            <w:tcBorders>
              <w:top w:val="nil"/>
              <w:left w:val="nil"/>
              <w:bottom w:val="nil"/>
              <w:right w:val="nil"/>
            </w:tcBorders>
            <w:shd w:val="clear" w:color="auto" w:fill="auto"/>
            <w:noWrap/>
            <w:vAlign w:val="center"/>
            <w:hideMark/>
          </w:tcPr>
          <w:p w14:paraId="503094B9" w14:textId="77777777" w:rsidR="00A430D5" w:rsidRPr="00A858D5" w:rsidRDefault="00A430D5" w:rsidP="001745CB">
            <w:pPr>
              <w:rPr>
                <w:rFonts w:ascii="Calibri" w:hAnsi="Calibri" w:cs="Calibri"/>
                <w:sz w:val="21"/>
                <w:szCs w:val="21"/>
                <w:lang w:val="en-GB"/>
              </w:rPr>
            </w:pPr>
          </w:p>
        </w:tc>
        <w:tc>
          <w:tcPr>
            <w:tcW w:w="2468" w:type="pct"/>
            <w:tcBorders>
              <w:top w:val="nil"/>
              <w:left w:val="nil"/>
              <w:bottom w:val="nil"/>
              <w:right w:val="nil"/>
            </w:tcBorders>
            <w:shd w:val="clear" w:color="auto" w:fill="auto"/>
            <w:noWrap/>
            <w:vAlign w:val="center"/>
            <w:hideMark/>
          </w:tcPr>
          <w:p w14:paraId="72C64EF3"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Other HIC</w:t>
            </w:r>
          </w:p>
        </w:tc>
        <w:tc>
          <w:tcPr>
            <w:tcW w:w="795" w:type="pct"/>
            <w:tcBorders>
              <w:top w:val="nil"/>
              <w:left w:val="nil"/>
              <w:bottom w:val="nil"/>
              <w:right w:val="nil"/>
            </w:tcBorders>
            <w:shd w:val="clear" w:color="auto" w:fill="auto"/>
            <w:noWrap/>
            <w:vAlign w:val="center"/>
            <w:hideMark/>
          </w:tcPr>
          <w:p w14:paraId="3CCFC700"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108,077 (18.9)</w:t>
            </w:r>
          </w:p>
        </w:tc>
        <w:tc>
          <w:tcPr>
            <w:tcW w:w="795" w:type="pct"/>
            <w:tcBorders>
              <w:top w:val="nil"/>
              <w:left w:val="nil"/>
              <w:bottom w:val="nil"/>
              <w:right w:val="nil"/>
            </w:tcBorders>
            <w:shd w:val="clear" w:color="auto" w:fill="auto"/>
            <w:noWrap/>
            <w:vAlign w:val="center"/>
            <w:hideMark/>
          </w:tcPr>
          <w:p w14:paraId="0A121542"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56,292 (18.8)</w:t>
            </w:r>
          </w:p>
        </w:tc>
        <w:tc>
          <w:tcPr>
            <w:tcW w:w="795" w:type="pct"/>
            <w:tcBorders>
              <w:top w:val="nil"/>
              <w:left w:val="nil"/>
              <w:bottom w:val="nil"/>
              <w:right w:val="nil"/>
            </w:tcBorders>
            <w:shd w:val="clear" w:color="auto" w:fill="auto"/>
            <w:noWrap/>
            <w:vAlign w:val="center"/>
            <w:hideMark/>
          </w:tcPr>
          <w:p w14:paraId="72C638AD"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51,785 (19.0)</w:t>
            </w:r>
          </w:p>
        </w:tc>
      </w:tr>
      <w:tr w:rsidR="00A430D5" w:rsidRPr="00A858D5" w14:paraId="557A4E7D" w14:textId="77777777" w:rsidTr="00A430D5">
        <w:trPr>
          <w:trHeight w:val="303"/>
        </w:trPr>
        <w:tc>
          <w:tcPr>
            <w:tcW w:w="147" w:type="pct"/>
            <w:tcBorders>
              <w:top w:val="nil"/>
              <w:left w:val="nil"/>
              <w:bottom w:val="single" w:sz="4" w:space="0" w:color="auto"/>
              <w:right w:val="nil"/>
            </w:tcBorders>
            <w:shd w:val="clear" w:color="auto" w:fill="auto"/>
            <w:noWrap/>
            <w:vAlign w:val="center"/>
            <w:hideMark/>
          </w:tcPr>
          <w:p w14:paraId="7883C1B2"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 </w:t>
            </w:r>
          </w:p>
        </w:tc>
        <w:tc>
          <w:tcPr>
            <w:tcW w:w="2468" w:type="pct"/>
            <w:tcBorders>
              <w:top w:val="nil"/>
              <w:left w:val="nil"/>
              <w:bottom w:val="single" w:sz="4" w:space="0" w:color="auto"/>
              <w:right w:val="nil"/>
            </w:tcBorders>
            <w:shd w:val="clear" w:color="auto" w:fill="auto"/>
            <w:noWrap/>
            <w:vAlign w:val="center"/>
            <w:hideMark/>
          </w:tcPr>
          <w:p w14:paraId="71AAC658"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LMIC</w:t>
            </w:r>
          </w:p>
        </w:tc>
        <w:tc>
          <w:tcPr>
            <w:tcW w:w="795" w:type="pct"/>
            <w:tcBorders>
              <w:top w:val="nil"/>
              <w:left w:val="nil"/>
              <w:bottom w:val="single" w:sz="4" w:space="0" w:color="auto"/>
              <w:right w:val="nil"/>
            </w:tcBorders>
            <w:shd w:val="clear" w:color="auto" w:fill="auto"/>
            <w:noWrap/>
            <w:vAlign w:val="center"/>
            <w:hideMark/>
          </w:tcPr>
          <w:p w14:paraId="3F880166"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140,128 (24.5)</w:t>
            </w:r>
          </w:p>
        </w:tc>
        <w:tc>
          <w:tcPr>
            <w:tcW w:w="795" w:type="pct"/>
            <w:tcBorders>
              <w:top w:val="nil"/>
              <w:left w:val="nil"/>
              <w:bottom w:val="single" w:sz="4" w:space="0" w:color="auto"/>
              <w:right w:val="nil"/>
            </w:tcBorders>
            <w:shd w:val="clear" w:color="auto" w:fill="auto"/>
            <w:noWrap/>
            <w:vAlign w:val="center"/>
            <w:hideMark/>
          </w:tcPr>
          <w:p w14:paraId="5FAA8164"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69,397 (23.2)</w:t>
            </w:r>
          </w:p>
        </w:tc>
        <w:tc>
          <w:tcPr>
            <w:tcW w:w="795" w:type="pct"/>
            <w:tcBorders>
              <w:top w:val="nil"/>
              <w:left w:val="nil"/>
              <w:bottom w:val="single" w:sz="4" w:space="0" w:color="auto"/>
              <w:right w:val="nil"/>
            </w:tcBorders>
            <w:shd w:val="clear" w:color="auto" w:fill="auto"/>
            <w:noWrap/>
            <w:vAlign w:val="center"/>
            <w:hideMark/>
          </w:tcPr>
          <w:p w14:paraId="2B32C347"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70,731 (26.0)</w:t>
            </w:r>
          </w:p>
        </w:tc>
      </w:tr>
      <w:tr w:rsidR="00A430D5" w:rsidRPr="00A858D5" w14:paraId="4D1DD8A7"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5021E721"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Educational attainment, N (%)</w:t>
            </w:r>
          </w:p>
        </w:tc>
        <w:tc>
          <w:tcPr>
            <w:tcW w:w="795" w:type="pct"/>
            <w:tcBorders>
              <w:top w:val="nil"/>
              <w:left w:val="nil"/>
              <w:bottom w:val="single" w:sz="4" w:space="0" w:color="auto"/>
              <w:right w:val="nil"/>
            </w:tcBorders>
            <w:shd w:val="clear" w:color="auto" w:fill="auto"/>
            <w:noWrap/>
            <w:vAlign w:val="center"/>
            <w:hideMark/>
          </w:tcPr>
          <w:p w14:paraId="3FACAF09"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5EC3C223"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16FB98B3" w14:textId="77777777" w:rsidR="00A430D5" w:rsidRPr="00A858D5" w:rsidRDefault="00A430D5" w:rsidP="001745CB">
            <w:pPr>
              <w:jc w:val="center"/>
              <w:rPr>
                <w:rFonts w:ascii="Calibri" w:hAnsi="Calibri" w:cs="Calibri"/>
                <w:sz w:val="21"/>
                <w:szCs w:val="21"/>
                <w:lang w:val="en-GB"/>
              </w:rPr>
            </w:pPr>
          </w:p>
        </w:tc>
      </w:tr>
      <w:tr w:rsidR="00A430D5" w:rsidRPr="00A858D5" w14:paraId="6ED268BF" w14:textId="77777777" w:rsidTr="00A430D5">
        <w:trPr>
          <w:trHeight w:val="303"/>
        </w:trPr>
        <w:tc>
          <w:tcPr>
            <w:tcW w:w="147" w:type="pct"/>
            <w:tcBorders>
              <w:top w:val="nil"/>
              <w:left w:val="nil"/>
              <w:bottom w:val="nil"/>
              <w:right w:val="nil"/>
            </w:tcBorders>
            <w:shd w:val="clear" w:color="auto" w:fill="auto"/>
            <w:noWrap/>
            <w:vAlign w:val="center"/>
            <w:hideMark/>
          </w:tcPr>
          <w:p w14:paraId="0D0D5F67" w14:textId="77777777" w:rsidR="00A430D5" w:rsidRPr="00A858D5" w:rsidRDefault="00A430D5" w:rsidP="001745CB">
            <w:pPr>
              <w:rPr>
                <w:rFonts w:ascii="Calibri" w:hAnsi="Calibri" w:cs="Calibri"/>
                <w:sz w:val="21"/>
                <w:szCs w:val="21"/>
                <w:lang w:val="en-GB"/>
              </w:rPr>
            </w:pPr>
          </w:p>
        </w:tc>
        <w:tc>
          <w:tcPr>
            <w:tcW w:w="2468" w:type="pct"/>
            <w:tcBorders>
              <w:top w:val="nil"/>
              <w:left w:val="nil"/>
              <w:bottom w:val="nil"/>
              <w:right w:val="nil"/>
            </w:tcBorders>
            <w:shd w:val="clear" w:color="auto" w:fill="auto"/>
            <w:noWrap/>
            <w:vAlign w:val="center"/>
            <w:hideMark/>
          </w:tcPr>
          <w:p w14:paraId="5511B900"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Tertiary Education</w:t>
            </w:r>
          </w:p>
        </w:tc>
        <w:tc>
          <w:tcPr>
            <w:tcW w:w="795" w:type="pct"/>
            <w:tcBorders>
              <w:top w:val="nil"/>
              <w:left w:val="nil"/>
              <w:bottom w:val="nil"/>
              <w:right w:val="nil"/>
            </w:tcBorders>
            <w:shd w:val="clear" w:color="auto" w:fill="auto"/>
            <w:noWrap/>
            <w:vAlign w:val="center"/>
            <w:hideMark/>
          </w:tcPr>
          <w:p w14:paraId="23F312E3"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191,286 (33.5)</w:t>
            </w:r>
          </w:p>
        </w:tc>
        <w:tc>
          <w:tcPr>
            <w:tcW w:w="795" w:type="pct"/>
            <w:tcBorders>
              <w:top w:val="nil"/>
              <w:left w:val="nil"/>
              <w:bottom w:val="nil"/>
              <w:right w:val="nil"/>
            </w:tcBorders>
            <w:shd w:val="clear" w:color="auto" w:fill="auto"/>
            <w:noWrap/>
            <w:vAlign w:val="center"/>
            <w:hideMark/>
          </w:tcPr>
          <w:p w14:paraId="3F2858CB"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97,805 (32.7)</w:t>
            </w:r>
          </w:p>
        </w:tc>
        <w:tc>
          <w:tcPr>
            <w:tcW w:w="795" w:type="pct"/>
            <w:tcBorders>
              <w:top w:val="nil"/>
              <w:left w:val="nil"/>
              <w:bottom w:val="nil"/>
              <w:right w:val="nil"/>
            </w:tcBorders>
            <w:shd w:val="clear" w:color="auto" w:fill="auto"/>
            <w:noWrap/>
            <w:vAlign w:val="center"/>
            <w:hideMark/>
          </w:tcPr>
          <w:p w14:paraId="09E344C8"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93,481 (34.3)</w:t>
            </w:r>
          </w:p>
        </w:tc>
      </w:tr>
      <w:tr w:rsidR="00A430D5" w:rsidRPr="00A858D5" w14:paraId="471734D9" w14:textId="77777777" w:rsidTr="00A430D5">
        <w:trPr>
          <w:trHeight w:val="303"/>
        </w:trPr>
        <w:tc>
          <w:tcPr>
            <w:tcW w:w="147" w:type="pct"/>
            <w:tcBorders>
              <w:top w:val="nil"/>
              <w:left w:val="nil"/>
              <w:bottom w:val="nil"/>
              <w:right w:val="nil"/>
            </w:tcBorders>
            <w:shd w:val="clear" w:color="auto" w:fill="auto"/>
            <w:noWrap/>
            <w:vAlign w:val="center"/>
            <w:hideMark/>
          </w:tcPr>
          <w:p w14:paraId="19095B27" w14:textId="77777777" w:rsidR="00A430D5" w:rsidRPr="00A858D5" w:rsidRDefault="00A430D5" w:rsidP="001745CB">
            <w:pPr>
              <w:rPr>
                <w:rFonts w:ascii="Calibri" w:hAnsi="Calibri" w:cs="Calibri"/>
                <w:sz w:val="21"/>
                <w:szCs w:val="21"/>
                <w:lang w:val="en-GB"/>
              </w:rPr>
            </w:pPr>
          </w:p>
        </w:tc>
        <w:tc>
          <w:tcPr>
            <w:tcW w:w="2468" w:type="pct"/>
            <w:tcBorders>
              <w:top w:val="nil"/>
              <w:left w:val="nil"/>
              <w:bottom w:val="nil"/>
              <w:right w:val="nil"/>
            </w:tcBorders>
            <w:shd w:val="clear" w:color="auto" w:fill="auto"/>
            <w:noWrap/>
            <w:vAlign w:val="center"/>
            <w:hideMark/>
          </w:tcPr>
          <w:p w14:paraId="16FAB313"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Higher Secondary Education</w:t>
            </w:r>
          </w:p>
        </w:tc>
        <w:tc>
          <w:tcPr>
            <w:tcW w:w="795" w:type="pct"/>
            <w:tcBorders>
              <w:top w:val="nil"/>
              <w:left w:val="nil"/>
              <w:bottom w:val="nil"/>
              <w:right w:val="nil"/>
            </w:tcBorders>
            <w:shd w:val="clear" w:color="auto" w:fill="auto"/>
            <w:noWrap/>
            <w:vAlign w:val="center"/>
            <w:hideMark/>
          </w:tcPr>
          <w:p w14:paraId="2AB49374"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146,343 (25.6)</w:t>
            </w:r>
          </w:p>
        </w:tc>
        <w:tc>
          <w:tcPr>
            <w:tcW w:w="795" w:type="pct"/>
            <w:tcBorders>
              <w:top w:val="nil"/>
              <w:left w:val="nil"/>
              <w:bottom w:val="nil"/>
              <w:right w:val="nil"/>
            </w:tcBorders>
            <w:shd w:val="clear" w:color="auto" w:fill="auto"/>
            <w:noWrap/>
            <w:vAlign w:val="center"/>
            <w:hideMark/>
          </w:tcPr>
          <w:p w14:paraId="6C89A1C7"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77,002 (25.7)</w:t>
            </w:r>
          </w:p>
        </w:tc>
        <w:tc>
          <w:tcPr>
            <w:tcW w:w="795" w:type="pct"/>
            <w:tcBorders>
              <w:top w:val="nil"/>
              <w:left w:val="nil"/>
              <w:bottom w:val="nil"/>
              <w:right w:val="nil"/>
            </w:tcBorders>
            <w:shd w:val="clear" w:color="auto" w:fill="auto"/>
            <w:noWrap/>
            <w:vAlign w:val="center"/>
            <w:hideMark/>
          </w:tcPr>
          <w:p w14:paraId="77104AEC"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69,341 (25.5)</w:t>
            </w:r>
          </w:p>
        </w:tc>
      </w:tr>
      <w:tr w:rsidR="00A430D5" w:rsidRPr="00A858D5" w14:paraId="0768DCA0" w14:textId="77777777" w:rsidTr="00A430D5">
        <w:trPr>
          <w:trHeight w:val="303"/>
        </w:trPr>
        <w:tc>
          <w:tcPr>
            <w:tcW w:w="147" w:type="pct"/>
            <w:tcBorders>
              <w:top w:val="nil"/>
              <w:left w:val="nil"/>
              <w:bottom w:val="single" w:sz="4" w:space="0" w:color="auto"/>
              <w:right w:val="nil"/>
            </w:tcBorders>
            <w:shd w:val="clear" w:color="auto" w:fill="auto"/>
            <w:noWrap/>
            <w:vAlign w:val="center"/>
            <w:hideMark/>
          </w:tcPr>
          <w:p w14:paraId="60533F13"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 </w:t>
            </w:r>
          </w:p>
        </w:tc>
        <w:tc>
          <w:tcPr>
            <w:tcW w:w="2468" w:type="pct"/>
            <w:tcBorders>
              <w:top w:val="nil"/>
              <w:left w:val="nil"/>
              <w:bottom w:val="single" w:sz="4" w:space="0" w:color="auto"/>
              <w:right w:val="nil"/>
            </w:tcBorders>
            <w:shd w:val="clear" w:color="auto" w:fill="auto"/>
            <w:noWrap/>
            <w:vAlign w:val="center"/>
            <w:hideMark/>
          </w:tcPr>
          <w:p w14:paraId="74A7985C"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Lower Education</w:t>
            </w:r>
          </w:p>
        </w:tc>
        <w:tc>
          <w:tcPr>
            <w:tcW w:w="795" w:type="pct"/>
            <w:tcBorders>
              <w:top w:val="nil"/>
              <w:left w:val="nil"/>
              <w:bottom w:val="single" w:sz="4" w:space="0" w:color="auto"/>
              <w:right w:val="nil"/>
            </w:tcBorders>
            <w:shd w:val="clear" w:color="auto" w:fill="auto"/>
            <w:noWrap/>
            <w:vAlign w:val="center"/>
            <w:hideMark/>
          </w:tcPr>
          <w:p w14:paraId="5C8D072B"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233,937 (40.9)</w:t>
            </w:r>
          </w:p>
        </w:tc>
        <w:tc>
          <w:tcPr>
            <w:tcW w:w="795" w:type="pct"/>
            <w:tcBorders>
              <w:top w:val="nil"/>
              <w:left w:val="nil"/>
              <w:bottom w:val="single" w:sz="4" w:space="0" w:color="auto"/>
              <w:right w:val="nil"/>
            </w:tcBorders>
            <w:shd w:val="clear" w:color="auto" w:fill="auto"/>
            <w:noWrap/>
            <w:vAlign w:val="center"/>
            <w:hideMark/>
          </w:tcPr>
          <w:p w14:paraId="2958DF4E"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124,410 (41.6)</w:t>
            </w:r>
          </w:p>
        </w:tc>
        <w:tc>
          <w:tcPr>
            <w:tcW w:w="795" w:type="pct"/>
            <w:tcBorders>
              <w:top w:val="nil"/>
              <w:left w:val="nil"/>
              <w:bottom w:val="single" w:sz="4" w:space="0" w:color="auto"/>
              <w:right w:val="nil"/>
            </w:tcBorders>
            <w:shd w:val="clear" w:color="auto" w:fill="auto"/>
            <w:noWrap/>
            <w:vAlign w:val="center"/>
            <w:hideMark/>
          </w:tcPr>
          <w:p w14:paraId="517B6F47"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109,527 (40.2)</w:t>
            </w:r>
          </w:p>
        </w:tc>
      </w:tr>
      <w:tr w:rsidR="00A430D5" w:rsidRPr="00A858D5" w14:paraId="62A1E416"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5CE493D4"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Housing tenure, N (%)</w:t>
            </w:r>
          </w:p>
        </w:tc>
        <w:tc>
          <w:tcPr>
            <w:tcW w:w="795" w:type="pct"/>
            <w:tcBorders>
              <w:top w:val="nil"/>
              <w:left w:val="nil"/>
              <w:bottom w:val="single" w:sz="4" w:space="0" w:color="auto"/>
              <w:right w:val="nil"/>
            </w:tcBorders>
            <w:shd w:val="clear" w:color="auto" w:fill="auto"/>
            <w:noWrap/>
            <w:vAlign w:val="center"/>
            <w:hideMark/>
          </w:tcPr>
          <w:p w14:paraId="48082493"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7B6FFF34"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129E6BFF" w14:textId="77777777" w:rsidR="00A430D5" w:rsidRPr="00A858D5" w:rsidRDefault="00A430D5" w:rsidP="001745CB">
            <w:pPr>
              <w:jc w:val="center"/>
              <w:rPr>
                <w:rFonts w:ascii="Calibri" w:hAnsi="Calibri" w:cs="Calibri"/>
                <w:sz w:val="21"/>
                <w:szCs w:val="21"/>
                <w:lang w:val="en-GB"/>
              </w:rPr>
            </w:pPr>
          </w:p>
        </w:tc>
      </w:tr>
      <w:tr w:rsidR="00A430D5" w:rsidRPr="00A858D5" w14:paraId="7192C3F5" w14:textId="77777777" w:rsidTr="00A430D5">
        <w:trPr>
          <w:trHeight w:val="303"/>
        </w:trPr>
        <w:tc>
          <w:tcPr>
            <w:tcW w:w="147" w:type="pct"/>
            <w:tcBorders>
              <w:top w:val="nil"/>
              <w:left w:val="nil"/>
              <w:bottom w:val="nil"/>
              <w:right w:val="nil"/>
            </w:tcBorders>
            <w:shd w:val="clear" w:color="auto" w:fill="auto"/>
            <w:noWrap/>
            <w:vAlign w:val="center"/>
            <w:hideMark/>
          </w:tcPr>
          <w:p w14:paraId="77B800A6" w14:textId="77777777" w:rsidR="00A430D5" w:rsidRPr="00A858D5" w:rsidRDefault="00A430D5" w:rsidP="001745CB">
            <w:pPr>
              <w:rPr>
                <w:rFonts w:ascii="Calibri" w:hAnsi="Calibri" w:cs="Calibri"/>
                <w:sz w:val="21"/>
                <w:szCs w:val="21"/>
                <w:lang w:val="en-GB"/>
              </w:rPr>
            </w:pPr>
          </w:p>
        </w:tc>
        <w:tc>
          <w:tcPr>
            <w:tcW w:w="2468" w:type="pct"/>
            <w:tcBorders>
              <w:top w:val="nil"/>
              <w:left w:val="nil"/>
              <w:bottom w:val="nil"/>
              <w:right w:val="nil"/>
            </w:tcBorders>
            <w:shd w:val="clear" w:color="auto" w:fill="auto"/>
            <w:noWrap/>
            <w:vAlign w:val="center"/>
            <w:hideMark/>
          </w:tcPr>
          <w:p w14:paraId="68FDC648"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Owner</w:t>
            </w:r>
          </w:p>
        </w:tc>
        <w:tc>
          <w:tcPr>
            <w:tcW w:w="795" w:type="pct"/>
            <w:tcBorders>
              <w:top w:val="nil"/>
              <w:left w:val="nil"/>
              <w:bottom w:val="nil"/>
              <w:right w:val="nil"/>
            </w:tcBorders>
            <w:shd w:val="clear" w:color="auto" w:fill="auto"/>
            <w:noWrap/>
            <w:vAlign w:val="center"/>
            <w:hideMark/>
          </w:tcPr>
          <w:p w14:paraId="6AAC9A3C"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291,276 (51.0)</w:t>
            </w:r>
          </w:p>
        </w:tc>
        <w:tc>
          <w:tcPr>
            <w:tcW w:w="795" w:type="pct"/>
            <w:tcBorders>
              <w:top w:val="nil"/>
              <w:left w:val="nil"/>
              <w:bottom w:val="nil"/>
              <w:right w:val="nil"/>
            </w:tcBorders>
            <w:shd w:val="clear" w:color="auto" w:fill="auto"/>
            <w:noWrap/>
            <w:vAlign w:val="center"/>
            <w:hideMark/>
          </w:tcPr>
          <w:p w14:paraId="7AA5E714"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153,031 (51.1)</w:t>
            </w:r>
          </w:p>
        </w:tc>
        <w:tc>
          <w:tcPr>
            <w:tcW w:w="795" w:type="pct"/>
            <w:tcBorders>
              <w:top w:val="nil"/>
              <w:left w:val="nil"/>
              <w:bottom w:val="nil"/>
              <w:right w:val="nil"/>
            </w:tcBorders>
            <w:shd w:val="clear" w:color="auto" w:fill="auto"/>
            <w:noWrap/>
            <w:vAlign w:val="center"/>
            <w:hideMark/>
          </w:tcPr>
          <w:p w14:paraId="499EF110"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138,245 (50.8)</w:t>
            </w:r>
          </w:p>
        </w:tc>
      </w:tr>
      <w:tr w:rsidR="00A430D5" w:rsidRPr="00A858D5" w14:paraId="380E5160" w14:textId="77777777" w:rsidTr="00A430D5">
        <w:trPr>
          <w:trHeight w:val="303"/>
        </w:trPr>
        <w:tc>
          <w:tcPr>
            <w:tcW w:w="147" w:type="pct"/>
            <w:tcBorders>
              <w:top w:val="nil"/>
              <w:left w:val="nil"/>
              <w:bottom w:val="single" w:sz="4" w:space="0" w:color="auto"/>
              <w:right w:val="nil"/>
            </w:tcBorders>
            <w:shd w:val="clear" w:color="auto" w:fill="auto"/>
            <w:noWrap/>
            <w:vAlign w:val="center"/>
            <w:hideMark/>
          </w:tcPr>
          <w:p w14:paraId="26748358"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 </w:t>
            </w:r>
          </w:p>
        </w:tc>
        <w:tc>
          <w:tcPr>
            <w:tcW w:w="2468" w:type="pct"/>
            <w:tcBorders>
              <w:top w:val="nil"/>
              <w:left w:val="nil"/>
              <w:bottom w:val="single" w:sz="4" w:space="0" w:color="auto"/>
              <w:right w:val="nil"/>
            </w:tcBorders>
            <w:shd w:val="clear" w:color="auto" w:fill="auto"/>
            <w:noWrap/>
            <w:vAlign w:val="center"/>
            <w:hideMark/>
          </w:tcPr>
          <w:p w14:paraId="5EDF8BD4"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Tenant</w:t>
            </w:r>
          </w:p>
        </w:tc>
        <w:tc>
          <w:tcPr>
            <w:tcW w:w="795" w:type="pct"/>
            <w:tcBorders>
              <w:top w:val="nil"/>
              <w:left w:val="nil"/>
              <w:bottom w:val="single" w:sz="4" w:space="0" w:color="auto"/>
              <w:right w:val="nil"/>
            </w:tcBorders>
            <w:shd w:val="clear" w:color="auto" w:fill="auto"/>
            <w:noWrap/>
            <w:vAlign w:val="center"/>
            <w:hideMark/>
          </w:tcPr>
          <w:p w14:paraId="41041B15"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280,290 (49.0)</w:t>
            </w:r>
          </w:p>
        </w:tc>
        <w:tc>
          <w:tcPr>
            <w:tcW w:w="795" w:type="pct"/>
            <w:tcBorders>
              <w:top w:val="nil"/>
              <w:left w:val="nil"/>
              <w:bottom w:val="single" w:sz="4" w:space="0" w:color="auto"/>
              <w:right w:val="nil"/>
            </w:tcBorders>
            <w:shd w:val="clear" w:color="auto" w:fill="auto"/>
            <w:noWrap/>
            <w:vAlign w:val="center"/>
            <w:hideMark/>
          </w:tcPr>
          <w:p w14:paraId="558FD104"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146,186 (48.9)</w:t>
            </w:r>
          </w:p>
        </w:tc>
        <w:tc>
          <w:tcPr>
            <w:tcW w:w="795" w:type="pct"/>
            <w:tcBorders>
              <w:top w:val="nil"/>
              <w:left w:val="nil"/>
              <w:bottom w:val="single" w:sz="4" w:space="0" w:color="auto"/>
              <w:right w:val="nil"/>
            </w:tcBorders>
            <w:shd w:val="clear" w:color="auto" w:fill="auto"/>
            <w:noWrap/>
            <w:vAlign w:val="center"/>
            <w:hideMark/>
          </w:tcPr>
          <w:p w14:paraId="09525EDF"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134,104 (49.2)</w:t>
            </w:r>
          </w:p>
        </w:tc>
      </w:tr>
      <w:tr w:rsidR="00A430D5" w:rsidRPr="00A858D5" w14:paraId="2B8833A4"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1854AAD7"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Household living arrangement, N (%)</w:t>
            </w:r>
          </w:p>
        </w:tc>
        <w:tc>
          <w:tcPr>
            <w:tcW w:w="795" w:type="pct"/>
            <w:tcBorders>
              <w:top w:val="nil"/>
              <w:left w:val="nil"/>
              <w:bottom w:val="single" w:sz="4" w:space="0" w:color="auto"/>
              <w:right w:val="nil"/>
            </w:tcBorders>
            <w:shd w:val="clear" w:color="auto" w:fill="auto"/>
            <w:noWrap/>
            <w:vAlign w:val="center"/>
            <w:hideMark/>
          </w:tcPr>
          <w:p w14:paraId="032AC137"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1A431CEC"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1BB93739" w14:textId="77777777" w:rsidR="00A430D5" w:rsidRPr="00A858D5" w:rsidRDefault="00A430D5" w:rsidP="001745CB">
            <w:pPr>
              <w:jc w:val="center"/>
              <w:rPr>
                <w:rFonts w:ascii="Calibri" w:hAnsi="Calibri" w:cs="Calibri"/>
                <w:sz w:val="21"/>
                <w:szCs w:val="21"/>
                <w:lang w:val="en-GB"/>
              </w:rPr>
            </w:pPr>
          </w:p>
        </w:tc>
      </w:tr>
      <w:tr w:rsidR="00A430D5" w:rsidRPr="00A858D5" w14:paraId="30052247" w14:textId="77777777" w:rsidTr="00A430D5">
        <w:trPr>
          <w:trHeight w:val="303"/>
        </w:trPr>
        <w:tc>
          <w:tcPr>
            <w:tcW w:w="147" w:type="pct"/>
            <w:tcBorders>
              <w:top w:val="nil"/>
              <w:left w:val="nil"/>
              <w:bottom w:val="nil"/>
              <w:right w:val="nil"/>
            </w:tcBorders>
            <w:shd w:val="clear" w:color="auto" w:fill="auto"/>
            <w:noWrap/>
            <w:vAlign w:val="center"/>
            <w:hideMark/>
          </w:tcPr>
          <w:p w14:paraId="2331DB51" w14:textId="77777777" w:rsidR="00A430D5" w:rsidRPr="00A858D5" w:rsidRDefault="00A430D5" w:rsidP="001745CB">
            <w:pPr>
              <w:rPr>
                <w:rFonts w:ascii="Calibri" w:hAnsi="Calibri" w:cs="Calibri"/>
                <w:sz w:val="21"/>
                <w:szCs w:val="21"/>
                <w:lang w:val="en-GB"/>
              </w:rPr>
            </w:pPr>
          </w:p>
        </w:tc>
        <w:tc>
          <w:tcPr>
            <w:tcW w:w="2468" w:type="pct"/>
            <w:tcBorders>
              <w:top w:val="nil"/>
              <w:left w:val="nil"/>
              <w:bottom w:val="nil"/>
              <w:right w:val="nil"/>
            </w:tcBorders>
            <w:shd w:val="clear" w:color="auto" w:fill="auto"/>
            <w:noWrap/>
            <w:vAlign w:val="center"/>
            <w:hideMark/>
          </w:tcPr>
          <w:p w14:paraId="4AB789DE"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Single</w:t>
            </w:r>
          </w:p>
        </w:tc>
        <w:tc>
          <w:tcPr>
            <w:tcW w:w="795" w:type="pct"/>
            <w:tcBorders>
              <w:top w:val="nil"/>
              <w:left w:val="nil"/>
              <w:bottom w:val="nil"/>
              <w:right w:val="nil"/>
            </w:tcBorders>
            <w:shd w:val="clear" w:color="auto" w:fill="auto"/>
            <w:noWrap/>
            <w:vAlign w:val="center"/>
            <w:hideMark/>
          </w:tcPr>
          <w:p w14:paraId="7E30E283"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183,359 (32.1)</w:t>
            </w:r>
          </w:p>
        </w:tc>
        <w:tc>
          <w:tcPr>
            <w:tcW w:w="795" w:type="pct"/>
            <w:tcBorders>
              <w:top w:val="nil"/>
              <w:left w:val="nil"/>
              <w:bottom w:val="nil"/>
              <w:right w:val="nil"/>
            </w:tcBorders>
            <w:shd w:val="clear" w:color="auto" w:fill="auto"/>
            <w:noWrap/>
            <w:vAlign w:val="center"/>
            <w:hideMark/>
          </w:tcPr>
          <w:p w14:paraId="346EA5C4"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108,358 (36.2)</w:t>
            </w:r>
          </w:p>
        </w:tc>
        <w:tc>
          <w:tcPr>
            <w:tcW w:w="795" w:type="pct"/>
            <w:tcBorders>
              <w:top w:val="nil"/>
              <w:left w:val="nil"/>
              <w:bottom w:val="nil"/>
              <w:right w:val="nil"/>
            </w:tcBorders>
            <w:shd w:val="clear" w:color="auto" w:fill="auto"/>
            <w:noWrap/>
            <w:vAlign w:val="center"/>
            <w:hideMark/>
          </w:tcPr>
          <w:p w14:paraId="13DA1285"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75,001 (27.5)</w:t>
            </w:r>
          </w:p>
        </w:tc>
      </w:tr>
      <w:tr w:rsidR="00A430D5" w:rsidRPr="00A858D5" w14:paraId="0514EB75" w14:textId="77777777" w:rsidTr="00A430D5">
        <w:trPr>
          <w:trHeight w:val="303"/>
        </w:trPr>
        <w:tc>
          <w:tcPr>
            <w:tcW w:w="147" w:type="pct"/>
            <w:tcBorders>
              <w:top w:val="nil"/>
              <w:left w:val="nil"/>
              <w:bottom w:val="nil"/>
              <w:right w:val="nil"/>
            </w:tcBorders>
            <w:shd w:val="clear" w:color="auto" w:fill="auto"/>
            <w:noWrap/>
            <w:vAlign w:val="center"/>
            <w:hideMark/>
          </w:tcPr>
          <w:p w14:paraId="5000CCD7" w14:textId="77777777" w:rsidR="00A430D5" w:rsidRPr="00A858D5" w:rsidRDefault="00A430D5" w:rsidP="001745CB">
            <w:pPr>
              <w:rPr>
                <w:rFonts w:ascii="Calibri" w:hAnsi="Calibri" w:cs="Calibri"/>
                <w:sz w:val="21"/>
                <w:szCs w:val="21"/>
                <w:lang w:val="en-GB"/>
              </w:rPr>
            </w:pPr>
          </w:p>
        </w:tc>
        <w:tc>
          <w:tcPr>
            <w:tcW w:w="2468" w:type="pct"/>
            <w:tcBorders>
              <w:top w:val="nil"/>
              <w:left w:val="nil"/>
              <w:bottom w:val="nil"/>
              <w:right w:val="nil"/>
            </w:tcBorders>
            <w:shd w:val="clear" w:color="auto" w:fill="auto"/>
            <w:noWrap/>
            <w:vAlign w:val="center"/>
            <w:hideMark/>
          </w:tcPr>
          <w:p w14:paraId="49BF4625"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Cohabiting w/Partner</w:t>
            </w:r>
          </w:p>
        </w:tc>
        <w:tc>
          <w:tcPr>
            <w:tcW w:w="795" w:type="pct"/>
            <w:tcBorders>
              <w:top w:val="nil"/>
              <w:left w:val="nil"/>
              <w:bottom w:val="nil"/>
              <w:right w:val="nil"/>
            </w:tcBorders>
            <w:shd w:val="clear" w:color="auto" w:fill="auto"/>
            <w:noWrap/>
            <w:vAlign w:val="center"/>
            <w:hideMark/>
          </w:tcPr>
          <w:p w14:paraId="49F2E4D0"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284,568 (49.8)</w:t>
            </w:r>
          </w:p>
        </w:tc>
        <w:tc>
          <w:tcPr>
            <w:tcW w:w="795" w:type="pct"/>
            <w:tcBorders>
              <w:top w:val="nil"/>
              <w:left w:val="nil"/>
              <w:bottom w:val="nil"/>
              <w:right w:val="nil"/>
            </w:tcBorders>
            <w:shd w:val="clear" w:color="auto" w:fill="auto"/>
            <w:noWrap/>
            <w:vAlign w:val="center"/>
            <w:hideMark/>
          </w:tcPr>
          <w:p w14:paraId="0640E492"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142,223 (47.5)</w:t>
            </w:r>
          </w:p>
        </w:tc>
        <w:tc>
          <w:tcPr>
            <w:tcW w:w="795" w:type="pct"/>
            <w:tcBorders>
              <w:top w:val="nil"/>
              <w:left w:val="nil"/>
              <w:bottom w:val="nil"/>
              <w:right w:val="nil"/>
            </w:tcBorders>
            <w:shd w:val="clear" w:color="auto" w:fill="auto"/>
            <w:noWrap/>
            <w:vAlign w:val="center"/>
            <w:hideMark/>
          </w:tcPr>
          <w:p w14:paraId="028D62D3"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142,345 (52.3)</w:t>
            </w:r>
          </w:p>
        </w:tc>
      </w:tr>
      <w:tr w:rsidR="00A430D5" w:rsidRPr="00A858D5" w14:paraId="69BE1068" w14:textId="77777777" w:rsidTr="00A430D5">
        <w:trPr>
          <w:trHeight w:val="303"/>
        </w:trPr>
        <w:tc>
          <w:tcPr>
            <w:tcW w:w="147" w:type="pct"/>
            <w:tcBorders>
              <w:top w:val="nil"/>
              <w:left w:val="nil"/>
              <w:bottom w:val="single" w:sz="4" w:space="0" w:color="auto"/>
              <w:right w:val="nil"/>
            </w:tcBorders>
            <w:shd w:val="clear" w:color="auto" w:fill="auto"/>
            <w:noWrap/>
            <w:vAlign w:val="center"/>
            <w:hideMark/>
          </w:tcPr>
          <w:p w14:paraId="0E99A0D4"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 </w:t>
            </w:r>
          </w:p>
        </w:tc>
        <w:tc>
          <w:tcPr>
            <w:tcW w:w="2468" w:type="pct"/>
            <w:tcBorders>
              <w:top w:val="nil"/>
              <w:left w:val="nil"/>
              <w:bottom w:val="single" w:sz="4" w:space="0" w:color="auto"/>
              <w:right w:val="nil"/>
            </w:tcBorders>
            <w:shd w:val="clear" w:color="auto" w:fill="auto"/>
            <w:noWrap/>
            <w:vAlign w:val="center"/>
            <w:hideMark/>
          </w:tcPr>
          <w:p w14:paraId="36BBADC3"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Other</w:t>
            </w:r>
          </w:p>
        </w:tc>
        <w:tc>
          <w:tcPr>
            <w:tcW w:w="795" w:type="pct"/>
            <w:tcBorders>
              <w:top w:val="nil"/>
              <w:left w:val="nil"/>
              <w:bottom w:val="single" w:sz="4" w:space="0" w:color="auto"/>
              <w:right w:val="nil"/>
            </w:tcBorders>
            <w:shd w:val="clear" w:color="auto" w:fill="auto"/>
            <w:noWrap/>
            <w:vAlign w:val="center"/>
            <w:hideMark/>
          </w:tcPr>
          <w:p w14:paraId="5905EABE"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103,639 (18.1)</w:t>
            </w:r>
          </w:p>
        </w:tc>
        <w:tc>
          <w:tcPr>
            <w:tcW w:w="795" w:type="pct"/>
            <w:tcBorders>
              <w:top w:val="nil"/>
              <w:left w:val="nil"/>
              <w:bottom w:val="single" w:sz="4" w:space="0" w:color="auto"/>
              <w:right w:val="nil"/>
            </w:tcBorders>
            <w:shd w:val="clear" w:color="auto" w:fill="auto"/>
            <w:noWrap/>
            <w:vAlign w:val="center"/>
            <w:hideMark/>
          </w:tcPr>
          <w:p w14:paraId="530B5589"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48,636 (16.3)</w:t>
            </w:r>
          </w:p>
        </w:tc>
        <w:tc>
          <w:tcPr>
            <w:tcW w:w="795" w:type="pct"/>
            <w:tcBorders>
              <w:top w:val="nil"/>
              <w:left w:val="nil"/>
              <w:bottom w:val="single" w:sz="4" w:space="0" w:color="auto"/>
              <w:right w:val="nil"/>
            </w:tcBorders>
            <w:shd w:val="clear" w:color="auto" w:fill="auto"/>
            <w:noWrap/>
            <w:vAlign w:val="center"/>
            <w:hideMark/>
          </w:tcPr>
          <w:p w14:paraId="74DD52CA"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55,003 (20.2)</w:t>
            </w:r>
          </w:p>
        </w:tc>
      </w:tr>
      <w:tr w:rsidR="00A430D5" w:rsidRPr="00A858D5" w14:paraId="2D5FF974"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3B885DE4"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Area-level SEP (% of unemployment), median (IQR)</w:t>
            </w:r>
          </w:p>
        </w:tc>
        <w:tc>
          <w:tcPr>
            <w:tcW w:w="795" w:type="pct"/>
            <w:tcBorders>
              <w:top w:val="nil"/>
              <w:left w:val="nil"/>
              <w:bottom w:val="single" w:sz="4" w:space="0" w:color="auto"/>
              <w:right w:val="nil"/>
            </w:tcBorders>
            <w:shd w:val="clear" w:color="auto" w:fill="auto"/>
            <w:noWrap/>
            <w:vAlign w:val="center"/>
            <w:hideMark/>
          </w:tcPr>
          <w:p w14:paraId="7986D42F"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17.5 (13.7)</w:t>
            </w:r>
          </w:p>
        </w:tc>
        <w:tc>
          <w:tcPr>
            <w:tcW w:w="795" w:type="pct"/>
            <w:tcBorders>
              <w:top w:val="nil"/>
              <w:left w:val="nil"/>
              <w:bottom w:val="single" w:sz="4" w:space="0" w:color="auto"/>
              <w:right w:val="nil"/>
            </w:tcBorders>
            <w:shd w:val="clear" w:color="auto" w:fill="auto"/>
            <w:noWrap/>
            <w:vAlign w:val="center"/>
            <w:hideMark/>
          </w:tcPr>
          <w:p w14:paraId="4486FF8B"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17.3 (12.1)</w:t>
            </w:r>
          </w:p>
        </w:tc>
        <w:tc>
          <w:tcPr>
            <w:tcW w:w="795" w:type="pct"/>
            <w:tcBorders>
              <w:top w:val="nil"/>
              <w:left w:val="nil"/>
              <w:bottom w:val="single" w:sz="4" w:space="0" w:color="auto"/>
              <w:right w:val="nil"/>
            </w:tcBorders>
            <w:shd w:val="clear" w:color="auto" w:fill="auto"/>
            <w:noWrap/>
            <w:vAlign w:val="center"/>
            <w:hideMark/>
          </w:tcPr>
          <w:p w14:paraId="0A0643B4"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17.8 (14.7)</w:t>
            </w:r>
          </w:p>
        </w:tc>
      </w:tr>
      <w:tr w:rsidR="00A430D5" w:rsidRPr="00A858D5" w14:paraId="11743D89"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vAlign w:val="center"/>
            <w:hideMark/>
          </w:tcPr>
          <w:p w14:paraId="55F19F4C"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Indicators of residential urban green spaces, median (IQR)</w:t>
            </w:r>
          </w:p>
        </w:tc>
        <w:tc>
          <w:tcPr>
            <w:tcW w:w="795" w:type="pct"/>
            <w:tcBorders>
              <w:top w:val="nil"/>
              <w:left w:val="nil"/>
              <w:bottom w:val="single" w:sz="4" w:space="0" w:color="auto"/>
              <w:right w:val="nil"/>
            </w:tcBorders>
            <w:shd w:val="clear" w:color="auto" w:fill="auto"/>
            <w:noWrap/>
            <w:vAlign w:val="center"/>
            <w:hideMark/>
          </w:tcPr>
          <w:p w14:paraId="3178FD61"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099D32C1" w14:textId="77777777" w:rsidR="00A430D5" w:rsidRPr="00A858D5" w:rsidRDefault="00A430D5" w:rsidP="001745CB">
            <w:pPr>
              <w:jc w:val="center"/>
              <w:rPr>
                <w:rFonts w:ascii="Calibri" w:hAnsi="Calibri" w:cs="Calibri"/>
                <w:sz w:val="21"/>
                <w:szCs w:val="21"/>
                <w:lang w:val="en-GB"/>
              </w:rPr>
            </w:pPr>
          </w:p>
        </w:tc>
        <w:tc>
          <w:tcPr>
            <w:tcW w:w="795" w:type="pct"/>
            <w:tcBorders>
              <w:top w:val="nil"/>
              <w:left w:val="nil"/>
              <w:bottom w:val="single" w:sz="4" w:space="0" w:color="auto"/>
              <w:right w:val="nil"/>
            </w:tcBorders>
            <w:shd w:val="clear" w:color="auto" w:fill="auto"/>
            <w:noWrap/>
            <w:vAlign w:val="center"/>
            <w:hideMark/>
          </w:tcPr>
          <w:p w14:paraId="6EB0D8A6" w14:textId="77777777" w:rsidR="00A430D5" w:rsidRPr="00A858D5" w:rsidRDefault="00A430D5" w:rsidP="001745CB">
            <w:pPr>
              <w:jc w:val="center"/>
              <w:rPr>
                <w:rFonts w:ascii="Calibri" w:hAnsi="Calibri" w:cs="Calibri"/>
                <w:sz w:val="21"/>
                <w:szCs w:val="21"/>
                <w:lang w:val="en-GB"/>
              </w:rPr>
            </w:pPr>
          </w:p>
        </w:tc>
      </w:tr>
      <w:tr w:rsidR="00A430D5" w:rsidRPr="00A858D5" w14:paraId="1D21C223" w14:textId="77777777" w:rsidTr="00A430D5">
        <w:trPr>
          <w:trHeight w:val="303"/>
        </w:trPr>
        <w:tc>
          <w:tcPr>
            <w:tcW w:w="147" w:type="pct"/>
            <w:tcBorders>
              <w:top w:val="nil"/>
              <w:left w:val="nil"/>
              <w:bottom w:val="nil"/>
              <w:right w:val="nil"/>
            </w:tcBorders>
            <w:shd w:val="clear" w:color="auto" w:fill="auto"/>
            <w:noWrap/>
            <w:vAlign w:val="center"/>
            <w:hideMark/>
          </w:tcPr>
          <w:p w14:paraId="33697388" w14:textId="77777777" w:rsidR="00A430D5" w:rsidRPr="00A858D5" w:rsidRDefault="00A430D5" w:rsidP="001745CB">
            <w:pPr>
              <w:rPr>
                <w:rFonts w:ascii="Calibri" w:hAnsi="Calibri" w:cs="Calibri"/>
                <w:sz w:val="21"/>
                <w:szCs w:val="21"/>
                <w:lang w:val="en-GB"/>
              </w:rPr>
            </w:pPr>
          </w:p>
        </w:tc>
        <w:tc>
          <w:tcPr>
            <w:tcW w:w="2468" w:type="pct"/>
            <w:tcBorders>
              <w:top w:val="nil"/>
              <w:left w:val="nil"/>
              <w:bottom w:val="nil"/>
              <w:right w:val="nil"/>
            </w:tcBorders>
            <w:shd w:val="clear" w:color="auto" w:fill="auto"/>
            <w:noWrap/>
            <w:vAlign w:val="center"/>
            <w:hideMark/>
          </w:tcPr>
          <w:p w14:paraId="6F81FC2C"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Surrounding greenness (NDVI within 300m) (2006)</w:t>
            </w:r>
          </w:p>
        </w:tc>
        <w:tc>
          <w:tcPr>
            <w:tcW w:w="795" w:type="pct"/>
            <w:tcBorders>
              <w:top w:val="nil"/>
              <w:left w:val="nil"/>
              <w:bottom w:val="nil"/>
              <w:right w:val="nil"/>
            </w:tcBorders>
            <w:shd w:val="clear" w:color="auto" w:fill="auto"/>
            <w:noWrap/>
            <w:vAlign w:val="center"/>
            <w:hideMark/>
          </w:tcPr>
          <w:p w14:paraId="68B42708"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0.4 (0.2)</w:t>
            </w:r>
          </w:p>
        </w:tc>
        <w:tc>
          <w:tcPr>
            <w:tcW w:w="795" w:type="pct"/>
            <w:tcBorders>
              <w:top w:val="nil"/>
              <w:left w:val="nil"/>
              <w:bottom w:val="nil"/>
              <w:right w:val="nil"/>
            </w:tcBorders>
            <w:shd w:val="clear" w:color="auto" w:fill="auto"/>
            <w:noWrap/>
            <w:vAlign w:val="center"/>
            <w:hideMark/>
          </w:tcPr>
          <w:p w14:paraId="624A5245"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0.4 (0.2)</w:t>
            </w:r>
          </w:p>
        </w:tc>
        <w:tc>
          <w:tcPr>
            <w:tcW w:w="795" w:type="pct"/>
            <w:tcBorders>
              <w:top w:val="nil"/>
              <w:left w:val="nil"/>
              <w:bottom w:val="nil"/>
              <w:right w:val="nil"/>
            </w:tcBorders>
            <w:shd w:val="clear" w:color="auto" w:fill="auto"/>
            <w:noWrap/>
            <w:vAlign w:val="center"/>
            <w:hideMark/>
          </w:tcPr>
          <w:p w14:paraId="5842FE47"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0.4 (0.2)</w:t>
            </w:r>
          </w:p>
        </w:tc>
      </w:tr>
      <w:tr w:rsidR="00A430D5" w:rsidRPr="00A858D5" w14:paraId="109DC021" w14:textId="77777777" w:rsidTr="00A430D5">
        <w:trPr>
          <w:trHeight w:val="969"/>
        </w:trPr>
        <w:tc>
          <w:tcPr>
            <w:tcW w:w="147" w:type="pct"/>
            <w:tcBorders>
              <w:top w:val="nil"/>
              <w:left w:val="nil"/>
              <w:bottom w:val="single" w:sz="4" w:space="0" w:color="auto"/>
              <w:right w:val="nil"/>
            </w:tcBorders>
            <w:shd w:val="clear" w:color="auto" w:fill="auto"/>
            <w:noWrap/>
            <w:vAlign w:val="center"/>
            <w:hideMark/>
          </w:tcPr>
          <w:p w14:paraId="3321721C"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 </w:t>
            </w:r>
          </w:p>
        </w:tc>
        <w:tc>
          <w:tcPr>
            <w:tcW w:w="2468" w:type="pct"/>
            <w:tcBorders>
              <w:top w:val="nil"/>
              <w:left w:val="nil"/>
              <w:bottom w:val="single" w:sz="4" w:space="0" w:color="auto"/>
              <w:right w:val="nil"/>
            </w:tcBorders>
            <w:shd w:val="clear" w:color="auto" w:fill="auto"/>
            <w:vAlign w:val="center"/>
            <w:hideMark/>
          </w:tcPr>
          <w:p w14:paraId="25237B42" w14:textId="77777777" w:rsidR="00A430D5" w:rsidRPr="00A858D5" w:rsidRDefault="00A430D5" w:rsidP="001745CB">
            <w:pPr>
              <w:rPr>
                <w:rFonts w:ascii="Calibri" w:hAnsi="Calibri" w:cs="Calibri"/>
                <w:sz w:val="21"/>
                <w:szCs w:val="21"/>
                <w:lang w:val="en-GB"/>
              </w:rPr>
            </w:pPr>
            <w:r w:rsidRPr="00A858D5">
              <w:rPr>
                <w:rFonts w:ascii="Calibri" w:hAnsi="Calibri" w:cs="Calibri"/>
                <w:sz w:val="21"/>
                <w:szCs w:val="21"/>
                <w:lang w:val="en-GB"/>
              </w:rPr>
              <w:t>Perceived neighbourhood greenness (% of households reporting very well-equipped provision of green spaces in the neighbourhood)</w:t>
            </w:r>
          </w:p>
        </w:tc>
        <w:tc>
          <w:tcPr>
            <w:tcW w:w="795" w:type="pct"/>
            <w:tcBorders>
              <w:top w:val="nil"/>
              <w:left w:val="nil"/>
              <w:bottom w:val="single" w:sz="4" w:space="0" w:color="auto"/>
              <w:right w:val="nil"/>
            </w:tcBorders>
            <w:shd w:val="clear" w:color="auto" w:fill="auto"/>
            <w:noWrap/>
            <w:vAlign w:val="center"/>
            <w:hideMark/>
          </w:tcPr>
          <w:p w14:paraId="5D3C59B5"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22.8 (28.7)</w:t>
            </w:r>
          </w:p>
        </w:tc>
        <w:tc>
          <w:tcPr>
            <w:tcW w:w="795" w:type="pct"/>
            <w:tcBorders>
              <w:top w:val="nil"/>
              <w:left w:val="nil"/>
              <w:bottom w:val="single" w:sz="4" w:space="0" w:color="auto"/>
              <w:right w:val="nil"/>
            </w:tcBorders>
            <w:shd w:val="clear" w:color="auto" w:fill="auto"/>
            <w:noWrap/>
            <w:vAlign w:val="center"/>
            <w:hideMark/>
          </w:tcPr>
          <w:p w14:paraId="6F4A6093"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23.7 (28.4)</w:t>
            </w:r>
          </w:p>
        </w:tc>
        <w:tc>
          <w:tcPr>
            <w:tcW w:w="795" w:type="pct"/>
            <w:tcBorders>
              <w:top w:val="nil"/>
              <w:left w:val="nil"/>
              <w:bottom w:val="single" w:sz="4" w:space="0" w:color="auto"/>
              <w:right w:val="nil"/>
            </w:tcBorders>
            <w:shd w:val="clear" w:color="auto" w:fill="auto"/>
            <w:noWrap/>
            <w:vAlign w:val="center"/>
            <w:hideMark/>
          </w:tcPr>
          <w:p w14:paraId="1367CFDB"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21.95 (28.32)</w:t>
            </w:r>
          </w:p>
        </w:tc>
      </w:tr>
      <w:tr w:rsidR="00A430D5" w:rsidRPr="00A858D5" w14:paraId="7CC82B3B"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noWrap/>
            <w:vAlign w:val="center"/>
            <w:hideMark/>
          </w:tcPr>
          <w:p w14:paraId="0EE074FA"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color w:val="000000"/>
                <w:sz w:val="21"/>
                <w:szCs w:val="21"/>
                <w:lang w:val="en-GB"/>
              </w:rPr>
              <w:t>PM</w:t>
            </w:r>
            <w:r w:rsidRPr="00A858D5">
              <w:rPr>
                <w:rFonts w:ascii="Calibri" w:hAnsi="Calibri" w:cs="Calibri"/>
                <w:b/>
                <w:bCs/>
                <w:color w:val="000000"/>
                <w:sz w:val="21"/>
                <w:szCs w:val="21"/>
                <w:vertAlign w:val="subscript"/>
                <w:lang w:val="en-GB"/>
              </w:rPr>
              <w:t>2.5</w:t>
            </w:r>
            <w:r w:rsidRPr="00A858D5">
              <w:rPr>
                <w:rFonts w:ascii="Calibri" w:hAnsi="Calibri" w:cs="Calibri"/>
                <w:b/>
                <w:bCs/>
                <w:color w:val="000000"/>
                <w:sz w:val="21"/>
                <w:szCs w:val="21"/>
                <w:lang w:val="en-GB"/>
              </w:rPr>
              <w:t xml:space="preserve"> (µg/m</w:t>
            </w:r>
            <w:r w:rsidRPr="00A858D5">
              <w:rPr>
                <w:rFonts w:ascii="Calibri" w:hAnsi="Calibri" w:cs="Calibri"/>
                <w:b/>
                <w:bCs/>
                <w:color w:val="000000"/>
                <w:sz w:val="21"/>
                <w:szCs w:val="21"/>
                <w:vertAlign w:val="superscript"/>
                <w:lang w:val="en-GB"/>
              </w:rPr>
              <w:t>3</w:t>
            </w:r>
            <w:r w:rsidRPr="00A858D5">
              <w:rPr>
                <w:rFonts w:ascii="Calibri" w:hAnsi="Calibri" w:cs="Calibri"/>
                <w:b/>
                <w:bCs/>
                <w:color w:val="000000"/>
                <w:sz w:val="21"/>
                <w:szCs w:val="21"/>
                <w:lang w:val="en-GB"/>
              </w:rPr>
              <w:t xml:space="preserve">) (2005), mean </w:t>
            </w:r>
            <w:r w:rsidRPr="00A858D5">
              <w:rPr>
                <w:rFonts w:ascii="Calibri (Body)" w:hAnsi="Calibri (Body)" w:cs="Calibri"/>
                <w:b/>
                <w:bCs/>
                <w:color w:val="000000"/>
                <w:sz w:val="21"/>
                <w:szCs w:val="21"/>
                <w:lang w:val="en-GB"/>
              </w:rPr>
              <w:t>± SD</w:t>
            </w:r>
          </w:p>
        </w:tc>
        <w:tc>
          <w:tcPr>
            <w:tcW w:w="795" w:type="pct"/>
            <w:tcBorders>
              <w:top w:val="nil"/>
              <w:left w:val="nil"/>
              <w:bottom w:val="single" w:sz="4" w:space="0" w:color="auto"/>
              <w:right w:val="nil"/>
            </w:tcBorders>
            <w:shd w:val="clear" w:color="auto" w:fill="auto"/>
            <w:noWrap/>
            <w:vAlign w:val="center"/>
            <w:hideMark/>
          </w:tcPr>
          <w:p w14:paraId="53F45D22"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19.3 ±</w:t>
            </w:r>
            <w:r w:rsidRPr="00A858D5">
              <w:rPr>
                <w:rFonts w:ascii="Calibri" w:hAnsi="Calibri" w:cs="Calibri"/>
                <w:b/>
                <w:bCs/>
                <w:sz w:val="21"/>
                <w:szCs w:val="21"/>
                <w:lang w:val="en-GB"/>
              </w:rPr>
              <w:t xml:space="preserve"> </w:t>
            </w:r>
            <w:r w:rsidRPr="00A858D5">
              <w:rPr>
                <w:rFonts w:ascii="Calibri" w:hAnsi="Calibri" w:cs="Calibri"/>
                <w:sz w:val="21"/>
                <w:szCs w:val="21"/>
                <w:lang w:val="en-GB"/>
              </w:rPr>
              <w:t>0.9</w:t>
            </w:r>
          </w:p>
        </w:tc>
        <w:tc>
          <w:tcPr>
            <w:tcW w:w="795" w:type="pct"/>
            <w:tcBorders>
              <w:top w:val="nil"/>
              <w:left w:val="nil"/>
              <w:bottom w:val="single" w:sz="4" w:space="0" w:color="auto"/>
              <w:right w:val="nil"/>
            </w:tcBorders>
            <w:shd w:val="clear" w:color="auto" w:fill="auto"/>
            <w:noWrap/>
            <w:vAlign w:val="center"/>
            <w:hideMark/>
          </w:tcPr>
          <w:p w14:paraId="60A5B1AC"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19.3 ± 0.8</w:t>
            </w:r>
          </w:p>
        </w:tc>
        <w:tc>
          <w:tcPr>
            <w:tcW w:w="795" w:type="pct"/>
            <w:tcBorders>
              <w:top w:val="nil"/>
              <w:left w:val="nil"/>
              <w:bottom w:val="single" w:sz="4" w:space="0" w:color="auto"/>
              <w:right w:val="nil"/>
            </w:tcBorders>
            <w:shd w:val="clear" w:color="auto" w:fill="auto"/>
            <w:noWrap/>
            <w:vAlign w:val="center"/>
            <w:hideMark/>
          </w:tcPr>
          <w:p w14:paraId="4F9E08E5"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19.3 ± 0.9</w:t>
            </w:r>
          </w:p>
        </w:tc>
      </w:tr>
      <w:tr w:rsidR="00A430D5" w:rsidRPr="00A858D5" w14:paraId="24524566" w14:textId="77777777" w:rsidTr="00A430D5">
        <w:trPr>
          <w:trHeight w:val="303"/>
        </w:trPr>
        <w:tc>
          <w:tcPr>
            <w:tcW w:w="2615" w:type="pct"/>
            <w:gridSpan w:val="2"/>
            <w:tcBorders>
              <w:top w:val="single" w:sz="4" w:space="0" w:color="auto"/>
              <w:left w:val="nil"/>
              <w:bottom w:val="single" w:sz="4" w:space="0" w:color="auto"/>
              <w:right w:val="nil"/>
            </w:tcBorders>
            <w:shd w:val="clear" w:color="auto" w:fill="auto"/>
            <w:vAlign w:val="center"/>
            <w:hideMark/>
          </w:tcPr>
          <w:p w14:paraId="262F61CF" w14:textId="77777777" w:rsidR="00A430D5" w:rsidRPr="00A858D5" w:rsidRDefault="00A430D5" w:rsidP="001745CB">
            <w:pPr>
              <w:rPr>
                <w:rFonts w:ascii="Calibri" w:hAnsi="Calibri" w:cs="Calibri"/>
                <w:b/>
                <w:bCs/>
                <w:sz w:val="21"/>
                <w:szCs w:val="21"/>
                <w:lang w:val="en-GB"/>
              </w:rPr>
            </w:pPr>
            <w:r w:rsidRPr="00A858D5">
              <w:rPr>
                <w:rFonts w:ascii="Calibri" w:hAnsi="Calibri" w:cs="Calibri"/>
                <w:b/>
                <w:bCs/>
                <w:sz w:val="21"/>
                <w:szCs w:val="21"/>
                <w:lang w:val="en-GB"/>
              </w:rPr>
              <w:t>Combined daily average noise levels (</w:t>
            </w:r>
            <w:proofErr w:type="spellStart"/>
            <w:r w:rsidRPr="00A858D5">
              <w:rPr>
                <w:rFonts w:ascii="Calibri" w:hAnsi="Calibri" w:cs="Calibri"/>
                <w:b/>
                <w:bCs/>
                <w:sz w:val="21"/>
                <w:szCs w:val="21"/>
                <w:lang w:val="en-GB"/>
              </w:rPr>
              <w:t>L</w:t>
            </w:r>
            <w:r w:rsidRPr="00A858D5">
              <w:rPr>
                <w:rFonts w:ascii="Calibri" w:hAnsi="Calibri" w:cs="Calibri"/>
                <w:b/>
                <w:bCs/>
                <w:sz w:val="21"/>
                <w:szCs w:val="21"/>
                <w:vertAlign w:val="subscript"/>
                <w:lang w:val="en-GB"/>
              </w:rPr>
              <w:t>den</w:t>
            </w:r>
            <w:proofErr w:type="spellEnd"/>
            <w:r w:rsidRPr="00A858D5">
              <w:rPr>
                <w:rFonts w:ascii="Calibri" w:hAnsi="Calibri" w:cs="Calibri"/>
                <w:b/>
                <w:bCs/>
                <w:sz w:val="21"/>
                <w:szCs w:val="21"/>
                <w:lang w:val="en-GB"/>
              </w:rPr>
              <w:t>) from multiple transportation sources (dB (A)) (2016), median (IQR)</w:t>
            </w:r>
          </w:p>
        </w:tc>
        <w:tc>
          <w:tcPr>
            <w:tcW w:w="795" w:type="pct"/>
            <w:tcBorders>
              <w:top w:val="nil"/>
              <w:left w:val="nil"/>
              <w:bottom w:val="single" w:sz="4" w:space="0" w:color="auto"/>
              <w:right w:val="nil"/>
            </w:tcBorders>
            <w:shd w:val="clear" w:color="auto" w:fill="auto"/>
            <w:noWrap/>
            <w:vAlign w:val="center"/>
            <w:hideMark/>
          </w:tcPr>
          <w:p w14:paraId="02C800EB"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49.9 (5.8)</w:t>
            </w:r>
          </w:p>
        </w:tc>
        <w:tc>
          <w:tcPr>
            <w:tcW w:w="795" w:type="pct"/>
            <w:tcBorders>
              <w:top w:val="nil"/>
              <w:left w:val="nil"/>
              <w:bottom w:val="single" w:sz="4" w:space="0" w:color="auto"/>
              <w:right w:val="nil"/>
            </w:tcBorders>
            <w:shd w:val="clear" w:color="auto" w:fill="auto"/>
            <w:noWrap/>
            <w:vAlign w:val="center"/>
            <w:hideMark/>
          </w:tcPr>
          <w:p w14:paraId="4DD7EC1F"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49.9 (5.9)</w:t>
            </w:r>
          </w:p>
        </w:tc>
        <w:tc>
          <w:tcPr>
            <w:tcW w:w="795" w:type="pct"/>
            <w:tcBorders>
              <w:top w:val="nil"/>
              <w:left w:val="nil"/>
              <w:bottom w:val="single" w:sz="4" w:space="0" w:color="auto"/>
              <w:right w:val="nil"/>
            </w:tcBorders>
            <w:shd w:val="clear" w:color="auto" w:fill="auto"/>
            <w:noWrap/>
            <w:vAlign w:val="center"/>
            <w:hideMark/>
          </w:tcPr>
          <w:p w14:paraId="6F8A364E" w14:textId="77777777" w:rsidR="00A430D5" w:rsidRPr="00A858D5" w:rsidRDefault="00A430D5" w:rsidP="001745CB">
            <w:pPr>
              <w:jc w:val="center"/>
              <w:rPr>
                <w:rFonts w:ascii="Calibri" w:hAnsi="Calibri" w:cs="Calibri"/>
                <w:sz w:val="21"/>
                <w:szCs w:val="21"/>
                <w:lang w:val="en-GB"/>
              </w:rPr>
            </w:pPr>
            <w:r w:rsidRPr="00A858D5">
              <w:rPr>
                <w:rFonts w:ascii="Calibri" w:hAnsi="Calibri" w:cs="Calibri"/>
                <w:sz w:val="21"/>
                <w:szCs w:val="21"/>
                <w:lang w:val="en-GB"/>
              </w:rPr>
              <w:t>49.9 (5.7)</w:t>
            </w:r>
          </w:p>
        </w:tc>
      </w:tr>
    </w:tbl>
    <w:p w14:paraId="4D1EBC1A" w14:textId="77777777" w:rsidR="00A430D5" w:rsidRPr="00A858D5" w:rsidRDefault="00A430D5" w:rsidP="00A430D5">
      <w:pPr>
        <w:rPr>
          <w:b/>
          <w:szCs w:val="22"/>
          <w:lang w:val="en-GB"/>
        </w:rPr>
      </w:pPr>
    </w:p>
    <w:p w14:paraId="5DB90915" w14:textId="37A842FD" w:rsidR="00A430D5" w:rsidRPr="00A858D5" w:rsidRDefault="00A430D5" w:rsidP="00A430D5">
      <w:pPr>
        <w:rPr>
          <w:rFonts w:cstheme="minorHAnsi"/>
          <w:szCs w:val="22"/>
          <w:lang w:val="en-GB"/>
        </w:rPr>
      </w:pPr>
      <w:r w:rsidRPr="00A858D5">
        <w:rPr>
          <w:b/>
          <w:szCs w:val="22"/>
          <w:lang w:val="en-GB"/>
        </w:rPr>
        <w:t xml:space="preserve">Table 1. </w:t>
      </w:r>
      <w:r w:rsidRPr="00A858D5">
        <w:rPr>
          <w:rFonts w:cstheme="minorHAnsi"/>
          <w:szCs w:val="22"/>
          <w:lang w:val="en-GB"/>
        </w:rPr>
        <w:t>Baseline characteristics of the study population aged between 16 and 80, mortality and migration during follow-up (2001-2014) and residential living environment characteristics. Brussels Capital Region.</w:t>
      </w:r>
    </w:p>
    <w:p w14:paraId="704B9413" w14:textId="77777777" w:rsidR="00B52147" w:rsidRPr="00A858D5" w:rsidRDefault="00B52147" w:rsidP="006F2FE2">
      <w:pPr>
        <w:rPr>
          <w:lang w:val="en-GB"/>
        </w:rPr>
      </w:pPr>
    </w:p>
    <w:p w14:paraId="5C7BF771" w14:textId="14B6CDBC" w:rsidR="00636C1D" w:rsidRPr="00A858D5" w:rsidRDefault="00356C10">
      <w:pPr>
        <w:rPr>
          <w:lang w:val="en-GB"/>
        </w:rPr>
      </w:pPr>
      <w:r w:rsidRPr="00A858D5">
        <w:rPr>
          <w:lang w:val="en-GB"/>
        </w:rPr>
        <w:t xml:space="preserve">The environmental indicators included in this study were strongly to moderately correlated with each other (Figure S1). </w:t>
      </w:r>
      <w:r w:rsidR="00EA4CD2" w:rsidRPr="00A858D5">
        <w:rPr>
          <w:lang w:val="en-GB"/>
        </w:rPr>
        <w:t xml:space="preserve">Surrounding greenness </w:t>
      </w:r>
      <w:r w:rsidR="00E32C02" w:rsidRPr="00A858D5">
        <w:rPr>
          <w:lang w:val="en-GB"/>
        </w:rPr>
        <w:t xml:space="preserve">showed strong </w:t>
      </w:r>
      <w:r w:rsidR="00EA4CD2" w:rsidRPr="00A858D5">
        <w:rPr>
          <w:lang w:val="en-GB"/>
        </w:rPr>
        <w:t>correlat</w:t>
      </w:r>
      <w:r w:rsidR="00E32C02" w:rsidRPr="00A858D5">
        <w:rPr>
          <w:lang w:val="en-GB"/>
        </w:rPr>
        <w:t>ions</w:t>
      </w:r>
      <w:r w:rsidR="00EA4CD2" w:rsidRPr="00A858D5">
        <w:rPr>
          <w:lang w:val="en-GB"/>
        </w:rPr>
        <w:t xml:space="preserve"> with perceived</w:t>
      </w:r>
      <w:r w:rsidR="001019AE" w:rsidRPr="00A858D5">
        <w:rPr>
          <w:lang w:val="en-GB"/>
        </w:rPr>
        <w:t xml:space="preserve"> </w:t>
      </w:r>
      <w:r w:rsidR="000F06DD" w:rsidRPr="00A858D5">
        <w:rPr>
          <w:lang w:val="en-GB"/>
        </w:rPr>
        <w:t>neighbourhood</w:t>
      </w:r>
      <w:r w:rsidR="007278F1" w:rsidRPr="00A858D5">
        <w:rPr>
          <w:lang w:val="en-GB"/>
        </w:rPr>
        <w:t xml:space="preserve"> </w:t>
      </w:r>
      <w:r w:rsidR="00DF78D1" w:rsidRPr="00A858D5">
        <w:rPr>
          <w:lang w:val="en-GB"/>
        </w:rPr>
        <w:t>greenness</w:t>
      </w:r>
      <w:r w:rsidR="00EA4CD2" w:rsidRPr="00A858D5">
        <w:rPr>
          <w:lang w:val="en-GB"/>
        </w:rPr>
        <w:t xml:space="preserve"> (r=0.80)</w:t>
      </w:r>
      <w:r w:rsidR="00E32C02" w:rsidRPr="00A858D5">
        <w:rPr>
          <w:lang w:val="en-GB"/>
        </w:rPr>
        <w:t xml:space="preserve">, </w:t>
      </w:r>
      <w:r w:rsidR="00EA4CD2" w:rsidRPr="00A858D5">
        <w:rPr>
          <w:lang w:val="en-GB"/>
        </w:rPr>
        <w:t xml:space="preserve">low to moderate correlations with air pollutant concentrations and very weak with </w:t>
      </w:r>
      <w:r w:rsidR="005D28DD" w:rsidRPr="00A858D5">
        <w:rPr>
          <w:lang w:val="en-GB"/>
        </w:rPr>
        <w:t xml:space="preserve">daily average </w:t>
      </w:r>
      <w:r w:rsidR="00EA4CD2" w:rsidRPr="00A858D5">
        <w:rPr>
          <w:lang w:val="en-GB"/>
        </w:rPr>
        <w:t xml:space="preserve">noise levels. </w:t>
      </w:r>
      <w:r w:rsidR="00875FAD" w:rsidRPr="00A858D5">
        <w:rPr>
          <w:lang w:val="en-GB"/>
        </w:rPr>
        <w:t>Moderate</w:t>
      </w:r>
      <w:r w:rsidR="00E32C02" w:rsidRPr="00A858D5">
        <w:rPr>
          <w:lang w:val="en-GB"/>
        </w:rPr>
        <w:t xml:space="preserve"> n</w:t>
      </w:r>
      <w:r w:rsidR="00EA4CD2" w:rsidRPr="00A858D5">
        <w:rPr>
          <w:lang w:val="en-GB"/>
        </w:rPr>
        <w:t xml:space="preserve">egative </w:t>
      </w:r>
      <w:r w:rsidR="00E32C02" w:rsidRPr="00A858D5">
        <w:rPr>
          <w:lang w:val="en-GB"/>
        </w:rPr>
        <w:t>associations</w:t>
      </w:r>
      <w:r w:rsidR="00EA4CD2" w:rsidRPr="00A858D5">
        <w:rPr>
          <w:lang w:val="en-GB"/>
        </w:rPr>
        <w:t xml:space="preserve"> </w:t>
      </w:r>
      <w:r w:rsidR="00E32C02" w:rsidRPr="00A858D5">
        <w:rPr>
          <w:lang w:val="en-GB"/>
        </w:rPr>
        <w:t xml:space="preserve">were observed </w:t>
      </w:r>
      <w:r w:rsidR="00EA4CD2" w:rsidRPr="00A858D5">
        <w:rPr>
          <w:lang w:val="en-GB"/>
        </w:rPr>
        <w:t xml:space="preserve">between </w:t>
      </w:r>
      <w:r w:rsidR="00E32C02" w:rsidRPr="00A858D5">
        <w:rPr>
          <w:lang w:val="en-GB"/>
        </w:rPr>
        <w:t xml:space="preserve">surrounding greenness and </w:t>
      </w:r>
      <w:r w:rsidR="00EA4CD2" w:rsidRPr="00A858D5">
        <w:rPr>
          <w:lang w:val="en-GB"/>
        </w:rPr>
        <w:t>the area-level SE</w:t>
      </w:r>
      <w:r w:rsidR="00D41C18" w:rsidRPr="00A858D5">
        <w:rPr>
          <w:lang w:val="en-GB"/>
        </w:rPr>
        <w:t>P</w:t>
      </w:r>
      <w:r w:rsidR="00EA4CD2" w:rsidRPr="00A858D5">
        <w:rPr>
          <w:lang w:val="en-GB"/>
        </w:rPr>
        <w:t xml:space="preserve"> indicator</w:t>
      </w:r>
      <w:r w:rsidR="00875FAD" w:rsidRPr="00A858D5">
        <w:rPr>
          <w:lang w:val="en-GB"/>
        </w:rPr>
        <w:t xml:space="preserve"> </w:t>
      </w:r>
      <w:r w:rsidR="00EA4CD2" w:rsidRPr="00A858D5">
        <w:rPr>
          <w:lang w:val="en-GB"/>
        </w:rPr>
        <w:t>(r=-0.</w:t>
      </w:r>
      <w:r w:rsidR="003346C9" w:rsidRPr="00A858D5">
        <w:rPr>
          <w:lang w:val="en-GB"/>
        </w:rPr>
        <w:t>62</w:t>
      </w:r>
      <w:r w:rsidR="002F120E" w:rsidRPr="00A858D5">
        <w:rPr>
          <w:lang w:val="en-GB"/>
        </w:rPr>
        <w:t>)</w:t>
      </w:r>
      <w:r w:rsidR="005151B5" w:rsidRPr="00A858D5">
        <w:rPr>
          <w:lang w:val="en-GB"/>
        </w:rPr>
        <w:t>.</w:t>
      </w:r>
    </w:p>
    <w:p w14:paraId="47B5FD68" w14:textId="1FF90BF1" w:rsidR="006B6FC5" w:rsidRPr="00A858D5" w:rsidRDefault="00D142A4" w:rsidP="006B6FC5">
      <w:pPr>
        <w:rPr>
          <w:lang w:val="en-GB"/>
        </w:rPr>
      </w:pPr>
      <w:r w:rsidRPr="00A858D5">
        <w:rPr>
          <w:lang w:val="en-GB"/>
        </w:rPr>
        <w:t>The</w:t>
      </w:r>
      <w:r w:rsidR="00F93A61" w:rsidRPr="00A858D5">
        <w:rPr>
          <w:lang w:val="en-GB"/>
        </w:rPr>
        <w:t xml:space="preserve"> associations of </w:t>
      </w:r>
      <w:r w:rsidR="005F4E54" w:rsidRPr="00A858D5">
        <w:rPr>
          <w:lang w:val="en-GB"/>
        </w:rPr>
        <w:t xml:space="preserve">residential </w:t>
      </w:r>
      <w:r w:rsidR="00F93A61" w:rsidRPr="00A858D5">
        <w:rPr>
          <w:lang w:val="en-GB"/>
        </w:rPr>
        <w:t>UGS with</w:t>
      </w:r>
      <w:r w:rsidR="00D3543E" w:rsidRPr="00A858D5">
        <w:rPr>
          <w:lang w:val="en-GB"/>
        </w:rPr>
        <w:t xml:space="preserve"> </w:t>
      </w:r>
      <w:r w:rsidR="00356C10" w:rsidRPr="00A858D5">
        <w:rPr>
          <w:lang w:val="en-GB"/>
        </w:rPr>
        <w:t>the health outcomes</w:t>
      </w:r>
      <w:r w:rsidR="00D3543E" w:rsidRPr="00A858D5">
        <w:rPr>
          <w:lang w:val="en-GB"/>
        </w:rPr>
        <w:t xml:space="preserve"> </w:t>
      </w:r>
      <w:r w:rsidR="00396262" w:rsidRPr="00A858D5">
        <w:rPr>
          <w:lang w:val="en-GB"/>
        </w:rPr>
        <w:t xml:space="preserve">for </w:t>
      </w:r>
      <w:r w:rsidR="00931B55" w:rsidRPr="00A858D5">
        <w:rPr>
          <w:lang w:val="en-GB"/>
        </w:rPr>
        <w:t>the total population</w:t>
      </w:r>
      <w:r w:rsidR="00365A9C" w:rsidRPr="00A858D5">
        <w:rPr>
          <w:lang w:val="en-GB"/>
        </w:rPr>
        <w:t>,</w:t>
      </w:r>
      <w:r w:rsidR="00F93A61" w:rsidRPr="00A858D5">
        <w:rPr>
          <w:lang w:val="en-GB"/>
        </w:rPr>
        <w:t xml:space="preserve"> with </w:t>
      </w:r>
      <w:r w:rsidR="006D68C4" w:rsidRPr="00A858D5">
        <w:rPr>
          <w:lang w:val="en-GB"/>
        </w:rPr>
        <w:t>stepwise</w:t>
      </w:r>
      <w:r w:rsidR="00C10574" w:rsidRPr="00A858D5">
        <w:rPr>
          <w:lang w:val="en-GB"/>
        </w:rPr>
        <w:t xml:space="preserve"> cumulative</w:t>
      </w:r>
      <w:r w:rsidR="00F93A61" w:rsidRPr="00A858D5">
        <w:rPr>
          <w:lang w:val="en-GB"/>
        </w:rPr>
        <w:t xml:space="preserve"> adjustment for </w:t>
      </w:r>
      <w:r w:rsidR="00FD1D44" w:rsidRPr="00A858D5">
        <w:rPr>
          <w:lang w:val="en-GB"/>
        </w:rPr>
        <w:t>potential confounders</w:t>
      </w:r>
      <w:r w:rsidR="00FD1D44" w:rsidRPr="00A858D5" w:rsidDel="00FD1D44">
        <w:rPr>
          <w:lang w:val="en-GB"/>
        </w:rPr>
        <w:t xml:space="preserve"> </w:t>
      </w:r>
      <w:r w:rsidRPr="00A858D5">
        <w:rPr>
          <w:lang w:val="en-GB"/>
        </w:rPr>
        <w:t xml:space="preserve">are </w:t>
      </w:r>
      <w:r w:rsidR="00714495" w:rsidRPr="00A858D5">
        <w:rPr>
          <w:lang w:val="en-GB"/>
        </w:rPr>
        <w:t xml:space="preserve">shown in Figure </w:t>
      </w:r>
      <w:r w:rsidR="002F1C14">
        <w:rPr>
          <w:lang w:val="en-GB"/>
        </w:rPr>
        <w:t>2</w:t>
      </w:r>
      <w:r w:rsidR="00714495" w:rsidRPr="00A858D5">
        <w:rPr>
          <w:lang w:val="en-GB"/>
        </w:rPr>
        <w:t xml:space="preserve"> and fully reported </w:t>
      </w:r>
      <w:r w:rsidRPr="00A858D5">
        <w:rPr>
          <w:lang w:val="en-GB"/>
        </w:rPr>
        <w:t>in</w:t>
      </w:r>
      <w:r w:rsidR="00AA579D" w:rsidRPr="00A858D5">
        <w:rPr>
          <w:lang w:val="en-GB"/>
        </w:rPr>
        <w:t xml:space="preserve"> </w:t>
      </w:r>
      <w:r w:rsidRPr="00A858D5">
        <w:rPr>
          <w:lang w:val="en-GB"/>
        </w:rPr>
        <w:t>Table S2</w:t>
      </w:r>
      <w:r w:rsidR="00A56199" w:rsidRPr="00A858D5">
        <w:rPr>
          <w:lang w:val="en-GB"/>
        </w:rPr>
        <w:t>.</w:t>
      </w:r>
      <w:r w:rsidR="00E32C02" w:rsidRPr="00A858D5">
        <w:rPr>
          <w:lang w:val="en-GB"/>
        </w:rPr>
        <w:t xml:space="preserve"> </w:t>
      </w:r>
      <w:r w:rsidR="00F93A61" w:rsidRPr="00A858D5">
        <w:rPr>
          <w:lang w:val="en-GB"/>
        </w:rPr>
        <w:t>P</w:t>
      </w:r>
      <w:r w:rsidR="00396262" w:rsidRPr="00A858D5">
        <w:rPr>
          <w:lang w:val="en-GB"/>
        </w:rPr>
        <w:t xml:space="preserve">oor self-perceived health and natural cause mortality </w:t>
      </w:r>
      <w:r w:rsidR="00365A9C" w:rsidRPr="00A858D5">
        <w:rPr>
          <w:lang w:val="en-GB"/>
        </w:rPr>
        <w:t>were</w:t>
      </w:r>
      <w:r w:rsidR="00F93A61" w:rsidRPr="00A858D5">
        <w:rPr>
          <w:lang w:val="en-GB"/>
        </w:rPr>
        <w:t xml:space="preserve"> </w:t>
      </w:r>
      <w:r w:rsidR="00396262" w:rsidRPr="00A858D5">
        <w:rPr>
          <w:lang w:val="en-GB"/>
        </w:rPr>
        <w:t xml:space="preserve">inversely associated with </w:t>
      </w:r>
      <w:r w:rsidR="007269F2" w:rsidRPr="00A858D5">
        <w:rPr>
          <w:lang w:val="en-GB"/>
        </w:rPr>
        <w:t xml:space="preserve">both </w:t>
      </w:r>
      <w:r w:rsidR="00E32C02" w:rsidRPr="00A858D5">
        <w:rPr>
          <w:lang w:val="en-GB"/>
        </w:rPr>
        <w:t xml:space="preserve">indicators </w:t>
      </w:r>
      <w:r w:rsidR="00E32C02" w:rsidRPr="00A858D5">
        <w:rPr>
          <w:lang w:val="en-GB"/>
        </w:rPr>
        <w:lastRenderedPageBreak/>
        <w:t xml:space="preserve">of </w:t>
      </w:r>
      <w:r w:rsidR="001D6A75" w:rsidRPr="00A858D5">
        <w:rPr>
          <w:lang w:val="en-GB"/>
        </w:rPr>
        <w:t>residential UGS</w:t>
      </w:r>
      <w:r w:rsidR="002F05E0" w:rsidRPr="00A858D5">
        <w:rPr>
          <w:lang w:val="en-GB"/>
        </w:rPr>
        <w:t xml:space="preserve">. </w:t>
      </w:r>
      <w:r w:rsidR="00F93A61" w:rsidRPr="00A858D5">
        <w:rPr>
          <w:lang w:val="en-GB"/>
        </w:rPr>
        <w:t>A</w:t>
      </w:r>
      <w:r w:rsidR="0062080D" w:rsidRPr="00A858D5">
        <w:rPr>
          <w:lang w:val="en-GB"/>
        </w:rPr>
        <w:t xml:space="preserve">fter </w:t>
      </w:r>
      <w:r w:rsidR="00F93A61" w:rsidRPr="00A858D5">
        <w:rPr>
          <w:lang w:val="en-GB"/>
        </w:rPr>
        <w:t>c</w:t>
      </w:r>
      <w:r w:rsidR="002F05E0" w:rsidRPr="00A858D5">
        <w:rPr>
          <w:lang w:val="en-GB"/>
        </w:rPr>
        <w:t>ontrol for individu</w:t>
      </w:r>
      <w:r w:rsidR="00365A9C" w:rsidRPr="00A858D5">
        <w:rPr>
          <w:lang w:val="en-GB"/>
        </w:rPr>
        <w:t>al-</w:t>
      </w:r>
      <w:r w:rsidR="002F05E0" w:rsidRPr="00A858D5">
        <w:rPr>
          <w:lang w:val="en-GB"/>
        </w:rPr>
        <w:t xml:space="preserve"> </w:t>
      </w:r>
      <w:r w:rsidR="00365A9C" w:rsidRPr="00A858D5">
        <w:rPr>
          <w:lang w:val="en-GB"/>
        </w:rPr>
        <w:t xml:space="preserve">and area-level </w:t>
      </w:r>
      <w:r w:rsidR="002F05E0" w:rsidRPr="00A858D5">
        <w:rPr>
          <w:lang w:val="en-GB"/>
        </w:rPr>
        <w:t xml:space="preserve">socioeconomic characteristics the associations </w:t>
      </w:r>
      <w:r w:rsidR="0062080D" w:rsidRPr="00A858D5">
        <w:rPr>
          <w:lang w:val="en-GB"/>
        </w:rPr>
        <w:t xml:space="preserve">attenuated </w:t>
      </w:r>
      <w:r w:rsidR="002F05E0" w:rsidRPr="00A858D5">
        <w:rPr>
          <w:lang w:val="en-GB"/>
        </w:rPr>
        <w:t xml:space="preserve">considerably (M3 and M5). </w:t>
      </w:r>
      <w:r w:rsidR="00EF1E49" w:rsidRPr="00A858D5">
        <w:rPr>
          <w:lang w:val="en-GB"/>
        </w:rPr>
        <w:t>S</w:t>
      </w:r>
      <w:r w:rsidR="00396262" w:rsidRPr="00A858D5">
        <w:rPr>
          <w:lang w:val="en-GB"/>
        </w:rPr>
        <w:t xml:space="preserve">urrounding </w:t>
      </w:r>
      <w:r w:rsidR="00EF1E49" w:rsidRPr="00A858D5">
        <w:rPr>
          <w:lang w:val="en-GB"/>
        </w:rPr>
        <w:t xml:space="preserve">and perceived </w:t>
      </w:r>
      <w:r w:rsidR="000F06DD" w:rsidRPr="00A858D5">
        <w:rPr>
          <w:lang w:val="en-GB"/>
        </w:rPr>
        <w:t>neighbourhood</w:t>
      </w:r>
      <w:r w:rsidR="000B4F26" w:rsidRPr="00A858D5">
        <w:rPr>
          <w:lang w:val="en-GB"/>
        </w:rPr>
        <w:t xml:space="preserve"> </w:t>
      </w:r>
      <w:r w:rsidR="0054339F" w:rsidRPr="00A858D5">
        <w:rPr>
          <w:lang w:val="en-GB"/>
        </w:rPr>
        <w:t>greenness</w:t>
      </w:r>
      <w:r w:rsidR="002B3CF9" w:rsidRPr="00A858D5">
        <w:rPr>
          <w:lang w:val="en-GB"/>
        </w:rPr>
        <w:t xml:space="preserve"> showed similar </w:t>
      </w:r>
      <w:r w:rsidR="000F2331" w:rsidRPr="00A858D5">
        <w:rPr>
          <w:lang w:val="en-GB"/>
        </w:rPr>
        <w:t>inverse associations</w:t>
      </w:r>
      <w:r w:rsidR="00A206AE" w:rsidRPr="00A858D5">
        <w:rPr>
          <w:lang w:val="en-GB"/>
        </w:rPr>
        <w:t xml:space="preserve"> for poor self-perceived health</w:t>
      </w:r>
      <w:r w:rsidR="00917284" w:rsidRPr="00A858D5">
        <w:rPr>
          <w:lang w:val="en-GB"/>
        </w:rPr>
        <w:t xml:space="preserve"> </w:t>
      </w:r>
      <w:r w:rsidR="00A206AE" w:rsidRPr="00A858D5">
        <w:rPr>
          <w:lang w:val="en-GB"/>
        </w:rPr>
        <w:t>and natural cause mortality</w:t>
      </w:r>
      <w:r w:rsidR="0054339F" w:rsidRPr="00A858D5">
        <w:rPr>
          <w:lang w:val="en-GB"/>
        </w:rPr>
        <w:t xml:space="preserve"> </w:t>
      </w:r>
      <w:r w:rsidR="00E3574D" w:rsidRPr="00A858D5">
        <w:rPr>
          <w:lang w:val="en-GB"/>
        </w:rPr>
        <w:t xml:space="preserve">in the fully adjusted models </w:t>
      </w:r>
      <w:r w:rsidR="001D64E8" w:rsidRPr="00A858D5">
        <w:rPr>
          <w:lang w:val="en-GB"/>
        </w:rPr>
        <w:t>[</w:t>
      </w:r>
      <w:r w:rsidR="00E3574D" w:rsidRPr="00A858D5">
        <w:rPr>
          <w:lang w:val="en-GB"/>
        </w:rPr>
        <w:t>e.g.</w:t>
      </w:r>
      <w:r w:rsidR="00720071">
        <w:rPr>
          <w:lang w:val="en-GB"/>
        </w:rPr>
        <w:t>,</w:t>
      </w:r>
      <w:r w:rsidR="00E3574D" w:rsidRPr="00A858D5">
        <w:rPr>
          <w:lang w:val="en-GB"/>
        </w:rPr>
        <w:t xml:space="preserve"> </w:t>
      </w:r>
      <w:r w:rsidR="00B5138E" w:rsidRPr="00A858D5">
        <w:rPr>
          <w:lang w:val="en-GB"/>
        </w:rPr>
        <w:t xml:space="preserve">for surrounding greenness: </w:t>
      </w:r>
      <w:r w:rsidR="0041637D" w:rsidRPr="00A858D5">
        <w:rPr>
          <w:lang w:val="en-GB"/>
        </w:rPr>
        <w:t>odds ratio (</w:t>
      </w:r>
      <w:r w:rsidR="00B5138E" w:rsidRPr="00A858D5">
        <w:rPr>
          <w:lang w:val="en-GB"/>
        </w:rPr>
        <w:t>OR</w:t>
      </w:r>
      <w:r w:rsidR="0041637D" w:rsidRPr="00A858D5">
        <w:rPr>
          <w:lang w:val="en-GB"/>
        </w:rPr>
        <w:t>)</w:t>
      </w:r>
      <w:r w:rsidR="00B5138E" w:rsidRPr="00A858D5">
        <w:rPr>
          <w:lang w:val="en-GB"/>
        </w:rPr>
        <w:t xml:space="preserve"> 0.9</w:t>
      </w:r>
      <w:r w:rsidR="008A61A0" w:rsidRPr="00A858D5">
        <w:rPr>
          <w:lang w:val="en-GB"/>
        </w:rPr>
        <w:t>2</w:t>
      </w:r>
      <w:r w:rsidR="00B5138E" w:rsidRPr="00A858D5">
        <w:rPr>
          <w:lang w:val="en-GB"/>
        </w:rPr>
        <w:t xml:space="preserve"> </w:t>
      </w:r>
      <w:r w:rsidR="001D64E8" w:rsidRPr="00A858D5">
        <w:rPr>
          <w:lang w:val="en-GB"/>
        </w:rPr>
        <w:t>(</w:t>
      </w:r>
      <w:r w:rsidR="00B5138E" w:rsidRPr="00A858D5">
        <w:rPr>
          <w:lang w:val="en-GB"/>
        </w:rPr>
        <w:t>95%</w:t>
      </w:r>
      <w:r w:rsidR="0041637D" w:rsidRPr="00A858D5">
        <w:rPr>
          <w:lang w:val="en-GB"/>
        </w:rPr>
        <w:t xml:space="preserve"> confidence intervals (CI)</w:t>
      </w:r>
      <w:r w:rsidR="00B5138E" w:rsidRPr="00A858D5">
        <w:rPr>
          <w:lang w:val="en-GB"/>
        </w:rPr>
        <w:t>: 0.9</w:t>
      </w:r>
      <w:r w:rsidR="008A61A0" w:rsidRPr="00A858D5">
        <w:rPr>
          <w:lang w:val="en-GB"/>
        </w:rPr>
        <w:t>0</w:t>
      </w:r>
      <w:r w:rsidR="001D64E8" w:rsidRPr="00A858D5">
        <w:rPr>
          <w:lang w:val="en-GB"/>
        </w:rPr>
        <w:t xml:space="preserve">, </w:t>
      </w:r>
      <w:r w:rsidR="00B5138E" w:rsidRPr="00A858D5">
        <w:rPr>
          <w:lang w:val="en-GB"/>
        </w:rPr>
        <w:t>0.9</w:t>
      </w:r>
      <w:r w:rsidR="008A61A0" w:rsidRPr="00A858D5">
        <w:rPr>
          <w:lang w:val="en-GB"/>
        </w:rPr>
        <w:t>4</w:t>
      </w:r>
      <w:r w:rsidR="001D64E8" w:rsidRPr="00A858D5">
        <w:rPr>
          <w:lang w:val="en-GB"/>
        </w:rPr>
        <w:t>)</w:t>
      </w:r>
      <w:r w:rsidR="00B5138E" w:rsidRPr="00A858D5">
        <w:rPr>
          <w:lang w:val="en-GB"/>
        </w:rPr>
        <w:t xml:space="preserve">; </w:t>
      </w:r>
      <w:r w:rsidR="002E6C6C" w:rsidRPr="00A858D5">
        <w:rPr>
          <w:lang w:val="en-GB"/>
        </w:rPr>
        <w:t>hazard ratio (</w:t>
      </w:r>
      <w:r w:rsidR="00997A3E" w:rsidRPr="00A858D5">
        <w:rPr>
          <w:lang w:val="en-GB"/>
        </w:rPr>
        <w:t>HR</w:t>
      </w:r>
      <w:r w:rsidR="002E6C6C" w:rsidRPr="00A858D5">
        <w:rPr>
          <w:lang w:val="en-GB"/>
        </w:rPr>
        <w:t>)</w:t>
      </w:r>
      <w:r w:rsidR="005A02F1" w:rsidRPr="00A858D5">
        <w:rPr>
          <w:lang w:val="en-GB"/>
        </w:rPr>
        <w:t xml:space="preserve"> 0.</w:t>
      </w:r>
      <w:r w:rsidR="00997A3E" w:rsidRPr="00A858D5">
        <w:rPr>
          <w:lang w:val="en-GB"/>
        </w:rPr>
        <w:t>94</w:t>
      </w:r>
      <w:r w:rsidR="005A02F1" w:rsidRPr="00A858D5">
        <w:rPr>
          <w:lang w:val="en-GB"/>
        </w:rPr>
        <w:t xml:space="preserve"> </w:t>
      </w:r>
      <w:r w:rsidR="001D64E8" w:rsidRPr="00A858D5">
        <w:rPr>
          <w:lang w:val="en-GB"/>
        </w:rPr>
        <w:t>(</w:t>
      </w:r>
      <w:r w:rsidR="005A02F1" w:rsidRPr="00A858D5">
        <w:rPr>
          <w:lang w:val="en-GB"/>
        </w:rPr>
        <w:t>95%CI: 0.</w:t>
      </w:r>
      <w:r w:rsidR="00997A3E" w:rsidRPr="00A858D5">
        <w:rPr>
          <w:lang w:val="en-GB"/>
        </w:rPr>
        <w:t>92</w:t>
      </w:r>
      <w:r w:rsidR="001D64E8" w:rsidRPr="00A858D5">
        <w:rPr>
          <w:lang w:val="en-GB"/>
        </w:rPr>
        <w:t xml:space="preserve">, </w:t>
      </w:r>
      <w:r w:rsidR="005A02F1" w:rsidRPr="00A858D5">
        <w:rPr>
          <w:lang w:val="en-GB"/>
        </w:rPr>
        <w:t>0.95</w:t>
      </w:r>
      <w:r w:rsidR="001D64E8" w:rsidRPr="00A858D5">
        <w:rPr>
          <w:lang w:val="en-GB"/>
        </w:rPr>
        <w:t>)</w:t>
      </w:r>
      <w:r w:rsidR="00993A7B" w:rsidRPr="00A858D5">
        <w:rPr>
          <w:lang w:val="en-GB"/>
        </w:rPr>
        <w:t>; respectively</w:t>
      </w:r>
      <w:r w:rsidR="001D64E8" w:rsidRPr="00A858D5">
        <w:rPr>
          <w:lang w:val="en-GB"/>
        </w:rPr>
        <w:t>]</w:t>
      </w:r>
      <w:r w:rsidR="000765F3" w:rsidRPr="00A858D5">
        <w:rPr>
          <w:lang w:val="en-GB"/>
        </w:rPr>
        <w:t>.</w:t>
      </w:r>
      <w:r w:rsidR="0048137F" w:rsidRPr="00A858D5">
        <w:rPr>
          <w:lang w:val="en-GB"/>
        </w:rPr>
        <w:t xml:space="preserve"> </w:t>
      </w:r>
      <w:r w:rsidR="00C83761" w:rsidRPr="00A858D5">
        <w:rPr>
          <w:lang w:val="en-GB"/>
        </w:rPr>
        <w:t xml:space="preserve">On the other hand, the </w:t>
      </w:r>
      <w:r w:rsidR="000A59A0" w:rsidRPr="00A858D5">
        <w:rPr>
          <w:lang w:val="en-GB"/>
        </w:rPr>
        <w:t xml:space="preserve">inclusion of </w:t>
      </w:r>
      <w:r w:rsidR="00771FF6" w:rsidRPr="00A858D5">
        <w:rPr>
          <w:lang w:val="en-GB"/>
        </w:rPr>
        <w:t xml:space="preserve">the </w:t>
      </w:r>
      <w:r w:rsidR="000A59A0" w:rsidRPr="00A858D5">
        <w:rPr>
          <w:lang w:val="en-GB"/>
        </w:rPr>
        <w:t>variables accounting for environmental hazards</w:t>
      </w:r>
      <w:r w:rsidR="0097403D" w:rsidRPr="00A858D5">
        <w:rPr>
          <w:lang w:val="en-GB"/>
        </w:rPr>
        <w:t xml:space="preserve"> (</w:t>
      </w:r>
      <w:r w:rsidR="00771FF6" w:rsidRPr="00A858D5">
        <w:rPr>
          <w:lang w:val="en-GB"/>
        </w:rPr>
        <w:t>PM</w:t>
      </w:r>
      <w:r w:rsidR="00771FF6" w:rsidRPr="00A858D5">
        <w:rPr>
          <w:vertAlign w:val="subscript"/>
          <w:lang w:val="en-GB"/>
        </w:rPr>
        <w:t>2.5</w:t>
      </w:r>
      <w:r w:rsidR="000A59A0" w:rsidRPr="00A858D5">
        <w:rPr>
          <w:lang w:val="en-GB"/>
        </w:rPr>
        <w:t xml:space="preserve"> concentrations and </w:t>
      </w:r>
      <w:r w:rsidR="00C57B87" w:rsidRPr="00A858D5">
        <w:rPr>
          <w:lang w:val="en-GB"/>
        </w:rPr>
        <w:t xml:space="preserve">daily average </w:t>
      </w:r>
      <w:r w:rsidR="00771FF6" w:rsidRPr="00A858D5">
        <w:rPr>
          <w:lang w:val="en-GB"/>
        </w:rPr>
        <w:t>noise levels</w:t>
      </w:r>
      <w:r w:rsidR="00C83761" w:rsidRPr="00A858D5">
        <w:rPr>
          <w:lang w:val="en-GB"/>
        </w:rPr>
        <w:t xml:space="preserve">) </w:t>
      </w:r>
      <w:r w:rsidR="00486B77" w:rsidRPr="00A858D5">
        <w:rPr>
          <w:lang w:val="en-GB"/>
        </w:rPr>
        <w:t>barely</w:t>
      </w:r>
      <w:r w:rsidR="002A2759" w:rsidRPr="00A858D5">
        <w:rPr>
          <w:lang w:val="en-GB"/>
        </w:rPr>
        <w:t xml:space="preserve"> affect</w:t>
      </w:r>
      <w:r w:rsidR="00ED6D49" w:rsidRPr="00A858D5">
        <w:rPr>
          <w:lang w:val="en-GB"/>
        </w:rPr>
        <w:t>ed</w:t>
      </w:r>
      <w:r w:rsidR="002A2759" w:rsidRPr="00A858D5">
        <w:rPr>
          <w:lang w:val="en-GB"/>
        </w:rPr>
        <w:t xml:space="preserve"> the association</w:t>
      </w:r>
      <w:r w:rsidR="00F60B20" w:rsidRPr="00A858D5">
        <w:rPr>
          <w:lang w:val="en-GB"/>
        </w:rPr>
        <w:t>s</w:t>
      </w:r>
      <w:r w:rsidR="00A83409" w:rsidRPr="00A858D5">
        <w:rPr>
          <w:lang w:val="en-GB"/>
        </w:rPr>
        <w:t xml:space="preserve"> (M4)</w:t>
      </w:r>
      <w:r w:rsidR="002A2759" w:rsidRPr="00A858D5">
        <w:rPr>
          <w:lang w:val="en-GB"/>
        </w:rPr>
        <w:t>.</w:t>
      </w:r>
    </w:p>
    <w:p w14:paraId="0B86C054" w14:textId="53E1165A" w:rsidR="00B57AF2" w:rsidRPr="00A858D5" w:rsidRDefault="00B57AF2" w:rsidP="006B6FC5">
      <w:pPr>
        <w:rPr>
          <w:lang w:val="en-GB"/>
        </w:rPr>
      </w:pPr>
    </w:p>
    <w:p w14:paraId="7D235308" w14:textId="13564197" w:rsidR="00B57AF2" w:rsidRPr="00A858D5" w:rsidRDefault="00790AF4" w:rsidP="006B6FC5">
      <w:pPr>
        <w:rPr>
          <w:lang w:val="en-GB"/>
        </w:rPr>
      </w:pPr>
      <w:r w:rsidRPr="00A858D5">
        <w:rPr>
          <w:bCs/>
          <w:noProof/>
          <w:lang w:val="en-GB"/>
        </w:rPr>
        <w:drawing>
          <wp:inline distT="0" distB="0" distL="0" distR="0" wp14:anchorId="24A21254" wp14:editId="78A5E692">
            <wp:extent cx="5676181" cy="412813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691190" cy="4139048"/>
                    </a:xfrm>
                    <a:prstGeom prst="rect">
                      <a:avLst/>
                    </a:prstGeom>
                  </pic:spPr>
                </pic:pic>
              </a:graphicData>
            </a:graphic>
          </wp:inline>
        </w:drawing>
      </w:r>
    </w:p>
    <w:p w14:paraId="4717CD35" w14:textId="77777777" w:rsidR="003B0628" w:rsidRPr="00A858D5" w:rsidRDefault="003B0628" w:rsidP="003B0628">
      <w:pPr>
        <w:rPr>
          <w:b/>
          <w:szCs w:val="26"/>
          <w:lang w:val="en-GB"/>
        </w:rPr>
      </w:pPr>
    </w:p>
    <w:p w14:paraId="7D12C373" w14:textId="1F871877" w:rsidR="00B57AF2" w:rsidRPr="00F50E21" w:rsidRDefault="003B0628" w:rsidP="006B6FC5">
      <w:pPr>
        <w:rPr>
          <w:bCs/>
          <w:szCs w:val="26"/>
          <w:lang w:val="en-GB"/>
        </w:rPr>
      </w:pPr>
      <w:r w:rsidRPr="00A858D5">
        <w:rPr>
          <w:b/>
          <w:szCs w:val="26"/>
          <w:lang w:val="en-GB"/>
        </w:rPr>
        <w:t xml:space="preserve">Figure </w:t>
      </w:r>
      <w:r w:rsidR="002F1C14">
        <w:rPr>
          <w:b/>
          <w:szCs w:val="26"/>
          <w:lang w:val="en-GB"/>
        </w:rPr>
        <w:t>2</w:t>
      </w:r>
      <w:r w:rsidRPr="00A858D5">
        <w:rPr>
          <w:b/>
          <w:szCs w:val="26"/>
          <w:lang w:val="en-GB"/>
        </w:rPr>
        <w:t xml:space="preserve">. </w:t>
      </w:r>
      <w:r w:rsidRPr="00A858D5">
        <w:rPr>
          <w:bCs/>
          <w:szCs w:val="26"/>
          <w:lang w:val="en-GB"/>
        </w:rPr>
        <w:t>Stepwise adjustment of the associations and 95% confidence intervals (95%CI) between an IQR increment in residential urban green spaces and poor self-perceived health (Odds Ratio, OR) and natural cause mortality (Hazard Ratio, HR). M1 was adjusted by age and gender; M2 added migrant background; M3 added educational attainment, housing tenure and household living arrangement; M4 added PM</w:t>
      </w:r>
      <w:r w:rsidRPr="00A858D5">
        <w:rPr>
          <w:bCs/>
          <w:szCs w:val="26"/>
          <w:vertAlign w:val="subscript"/>
          <w:lang w:val="en-GB"/>
        </w:rPr>
        <w:t>2.5</w:t>
      </w:r>
      <w:r w:rsidRPr="00A858D5">
        <w:rPr>
          <w:bCs/>
          <w:szCs w:val="26"/>
          <w:lang w:val="en-GB"/>
        </w:rPr>
        <w:t xml:space="preserve"> and </w:t>
      </w:r>
      <w:proofErr w:type="spellStart"/>
      <w:r w:rsidRPr="00A858D5">
        <w:rPr>
          <w:bCs/>
          <w:szCs w:val="26"/>
          <w:lang w:val="en-GB"/>
        </w:rPr>
        <w:t>L</w:t>
      </w:r>
      <w:r w:rsidRPr="00A858D5">
        <w:rPr>
          <w:bCs/>
          <w:szCs w:val="26"/>
          <w:vertAlign w:val="subscript"/>
          <w:lang w:val="en-GB"/>
        </w:rPr>
        <w:t>den</w:t>
      </w:r>
      <w:proofErr w:type="spellEnd"/>
      <w:r w:rsidRPr="00A858D5">
        <w:rPr>
          <w:bCs/>
          <w:szCs w:val="26"/>
          <w:lang w:val="en-GB"/>
        </w:rPr>
        <w:t>; and M5 added area-level SEP. Brussels Capital Region, 2001-2014. Note: We used multilevel logistic regression models for the association with poor self-perceived health in 2001, and Cox proportional hazard models using age as the underlying time scale for the association with natural cause mortality during follow-up (2001-2014).</w:t>
      </w:r>
    </w:p>
    <w:p w14:paraId="498EEE21" w14:textId="77777777" w:rsidR="00F50E21" w:rsidRDefault="00F50E21">
      <w:pPr>
        <w:rPr>
          <w:b/>
          <w:bCs/>
          <w:lang w:val="en-GB"/>
        </w:rPr>
      </w:pPr>
    </w:p>
    <w:p w14:paraId="6BFF4758" w14:textId="77777777" w:rsidR="00F50E21" w:rsidRDefault="00F50E21">
      <w:pPr>
        <w:rPr>
          <w:b/>
          <w:bCs/>
          <w:lang w:val="en-GB"/>
        </w:rPr>
      </w:pPr>
    </w:p>
    <w:p w14:paraId="2AA74F85" w14:textId="719C145B" w:rsidR="007844FA" w:rsidRPr="00C0054A" w:rsidRDefault="00DC339C">
      <w:pPr>
        <w:rPr>
          <w:lang w:val="en-GB"/>
        </w:rPr>
      </w:pPr>
      <w:r w:rsidRPr="00C0054A">
        <w:rPr>
          <w:lang w:val="en-GB"/>
        </w:rPr>
        <w:t xml:space="preserve">Supplementary analyses </w:t>
      </w:r>
      <w:r w:rsidR="002B7F5C" w:rsidRPr="00C0054A">
        <w:rPr>
          <w:lang w:val="en-GB"/>
        </w:rPr>
        <w:t xml:space="preserve">using a categorisation of the exposure variables into quintiles </w:t>
      </w:r>
      <w:r w:rsidRPr="00C0054A">
        <w:rPr>
          <w:lang w:val="en-GB"/>
        </w:rPr>
        <w:t xml:space="preserve">to check the </w:t>
      </w:r>
      <w:r w:rsidR="005C7CA1" w:rsidRPr="00C0054A">
        <w:rPr>
          <w:lang w:val="en-GB"/>
        </w:rPr>
        <w:t xml:space="preserve">linearity of the exposure-response association were conducted </w:t>
      </w:r>
      <w:r w:rsidR="001644FB" w:rsidRPr="00C0054A">
        <w:rPr>
          <w:lang w:val="en-GB"/>
        </w:rPr>
        <w:t xml:space="preserve">(Table S3). </w:t>
      </w:r>
      <w:r w:rsidR="00AC2428" w:rsidRPr="00C0054A">
        <w:rPr>
          <w:lang w:val="en-GB"/>
        </w:rPr>
        <w:t>W</w:t>
      </w:r>
      <w:r w:rsidR="00CC265B" w:rsidRPr="00C0054A">
        <w:rPr>
          <w:lang w:val="en-GB"/>
        </w:rPr>
        <w:t>e did not find</w:t>
      </w:r>
      <w:r w:rsidR="00FB0826" w:rsidRPr="00C0054A">
        <w:rPr>
          <w:lang w:val="en-GB"/>
        </w:rPr>
        <w:t xml:space="preserve"> major deviations from linearity</w:t>
      </w:r>
      <w:r w:rsidR="001644FB" w:rsidRPr="00C0054A">
        <w:rPr>
          <w:lang w:val="en-GB"/>
        </w:rPr>
        <w:t xml:space="preserve">, </w:t>
      </w:r>
      <w:r w:rsidR="00AC2428" w:rsidRPr="00C0054A">
        <w:rPr>
          <w:lang w:val="en-GB"/>
        </w:rPr>
        <w:t xml:space="preserve">and hence </w:t>
      </w:r>
      <w:r w:rsidR="001644FB" w:rsidRPr="00C0054A">
        <w:rPr>
          <w:lang w:val="en-GB"/>
        </w:rPr>
        <w:t>we decided to continue</w:t>
      </w:r>
      <w:r w:rsidR="00175B2E" w:rsidRPr="00C0054A">
        <w:rPr>
          <w:lang w:val="en-GB"/>
        </w:rPr>
        <w:t xml:space="preserve"> the analyses with the </w:t>
      </w:r>
      <w:r w:rsidR="00AD499C" w:rsidRPr="00C0054A">
        <w:rPr>
          <w:lang w:val="en-GB"/>
        </w:rPr>
        <w:t>continuous term</w:t>
      </w:r>
      <w:r w:rsidR="00175B2E" w:rsidRPr="00C0054A">
        <w:rPr>
          <w:lang w:val="en-GB"/>
        </w:rPr>
        <w:t>.</w:t>
      </w:r>
    </w:p>
    <w:p w14:paraId="3F1AE3EC" w14:textId="5E39F490" w:rsidR="00FB66A6" w:rsidRPr="00A858D5" w:rsidRDefault="00397BDE">
      <w:pPr>
        <w:rPr>
          <w:lang w:val="en-GB"/>
        </w:rPr>
      </w:pPr>
      <w:r w:rsidRPr="00A858D5">
        <w:rPr>
          <w:lang w:val="en-GB"/>
        </w:rPr>
        <w:t>T</w:t>
      </w:r>
      <w:r w:rsidR="0081502C" w:rsidRPr="00A858D5">
        <w:rPr>
          <w:lang w:val="en-GB"/>
        </w:rPr>
        <w:t xml:space="preserve">able </w:t>
      </w:r>
      <w:r w:rsidR="00405DE6" w:rsidRPr="00A858D5">
        <w:rPr>
          <w:lang w:val="en-GB"/>
        </w:rPr>
        <w:t>2</w:t>
      </w:r>
      <w:r w:rsidR="0081502C" w:rsidRPr="00A858D5">
        <w:rPr>
          <w:lang w:val="en-GB"/>
        </w:rPr>
        <w:t xml:space="preserve"> shows</w:t>
      </w:r>
      <w:r w:rsidR="0081502C" w:rsidRPr="00A858D5">
        <w:rPr>
          <w:bCs/>
          <w:iCs/>
          <w:lang w:val="en-GB"/>
        </w:rPr>
        <w:t xml:space="preserve"> t</w:t>
      </w:r>
      <w:r w:rsidRPr="00A858D5">
        <w:rPr>
          <w:bCs/>
          <w:iCs/>
          <w:lang w:val="en-GB"/>
        </w:rPr>
        <w:t>he fully</w:t>
      </w:r>
      <w:r w:rsidR="00E4504D" w:rsidRPr="00A858D5">
        <w:rPr>
          <w:bCs/>
          <w:iCs/>
          <w:lang w:val="en-GB"/>
        </w:rPr>
        <w:t xml:space="preserve"> </w:t>
      </w:r>
      <w:r w:rsidRPr="00A858D5">
        <w:rPr>
          <w:bCs/>
          <w:iCs/>
          <w:lang w:val="en-GB"/>
        </w:rPr>
        <w:t>adjusted</w:t>
      </w:r>
      <w:r w:rsidR="00871983" w:rsidRPr="00A858D5">
        <w:rPr>
          <w:bCs/>
          <w:iCs/>
          <w:lang w:val="en-GB"/>
        </w:rPr>
        <w:t xml:space="preserve"> (M5)</w:t>
      </w:r>
      <w:r w:rsidRPr="00A858D5">
        <w:rPr>
          <w:bCs/>
          <w:iCs/>
          <w:lang w:val="en-GB"/>
        </w:rPr>
        <w:t xml:space="preserve"> associations</w:t>
      </w:r>
      <w:r w:rsidR="00D065BA" w:rsidRPr="00A858D5">
        <w:rPr>
          <w:bCs/>
          <w:iCs/>
          <w:lang w:val="en-GB"/>
        </w:rPr>
        <w:t xml:space="preserve"> between </w:t>
      </w:r>
      <w:r w:rsidR="001168FF" w:rsidRPr="00A858D5">
        <w:rPr>
          <w:bCs/>
          <w:iCs/>
          <w:lang w:val="en-GB"/>
        </w:rPr>
        <w:t>self-perceived health and natural cause mortality</w:t>
      </w:r>
      <w:r w:rsidR="0078761D" w:rsidRPr="00A858D5">
        <w:rPr>
          <w:bCs/>
          <w:iCs/>
          <w:lang w:val="en-GB"/>
        </w:rPr>
        <w:t xml:space="preserve"> and the two residential UGS indicators</w:t>
      </w:r>
      <w:r w:rsidR="001168FF" w:rsidRPr="00A858D5">
        <w:rPr>
          <w:bCs/>
          <w:iCs/>
          <w:lang w:val="en-GB"/>
        </w:rPr>
        <w:t>,</w:t>
      </w:r>
      <w:r w:rsidRPr="00A858D5">
        <w:rPr>
          <w:bCs/>
          <w:iCs/>
          <w:lang w:val="en-GB"/>
        </w:rPr>
        <w:t xml:space="preserve"> stratified</w:t>
      </w:r>
      <w:r w:rsidR="001501D7" w:rsidRPr="00A858D5">
        <w:rPr>
          <w:bCs/>
          <w:iCs/>
          <w:lang w:val="en-GB"/>
        </w:rPr>
        <w:t xml:space="preserve"> </w:t>
      </w:r>
      <w:r w:rsidRPr="00A858D5">
        <w:rPr>
          <w:bCs/>
          <w:iCs/>
          <w:lang w:val="en-GB"/>
        </w:rPr>
        <w:t xml:space="preserve">by </w:t>
      </w:r>
      <w:r w:rsidRPr="00A858D5">
        <w:rPr>
          <w:lang w:val="en-GB"/>
        </w:rPr>
        <w:t xml:space="preserve">gender, educational </w:t>
      </w:r>
      <w:r w:rsidR="00175B2E" w:rsidRPr="00A858D5">
        <w:rPr>
          <w:lang w:val="en-GB"/>
        </w:rPr>
        <w:t>attainment,</w:t>
      </w:r>
      <w:r w:rsidRPr="00A858D5">
        <w:rPr>
          <w:lang w:val="en-GB"/>
        </w:rPr>
        <w:t xml:space="preserve"> and </w:t>
      </w:r>
      <w:r w:rsidRPr="00A858D5">
        <w:rPr>
          <w:lang w:val="en-GB"/>
        </w:rPr>
        <w:lastRenderedPageBreak/>
        <w:t>migrant background</w:t>
      </w:r>
      <w:r w:rsidR="001D018C" w:rsidRPr="00A858D5">
        <w:rPr>
          <w:lang w:val="en-GB"/>
        </w:rPr>
        <w:t xml:space="preserve"> subsequently. </w:t>
      </w:r>
      <w:r w:rsidR="00344733" w:rsidRPr="00A858D5">
        <w:rPr>
          <w:lang w:val="en-GB"/>
        </w:rPr>
        <w:t>These associations were</w:t>
      </w:r>
      <w:r w:rsidR="001D018C" w:rsidRPr="00A858D5">
        <w:rPr>
          <w:lang w:val="en-GB"/>
        </w:rPr>
        <w:t xml:space="preserve"> also modelled </w:t>
      </w:r>
      <w:r w:rsidR="00E13D71" w:rsidRPr="00A858D5">
        <w:rPr>
          <w:lang w:val="en-GB"/>
        </w:rPr>
        <w:t>including</w:t>
      </w:r>
      <w:r w:rsidR="00812F6A" w:rsidRPr="00A858D5">
        <w:rPr>
          <w:bCs/>
          <w:iCs/>
          <w:lang w:val="en-GB"/>
        </w:rPr>
        <w:t xml:space="preserve"> interaction</w:t>
      </w:r>
      <w:r w:rsidR="001D018C" w:rsidRPr="00A858D5">
        <w:rPr>
          <w:bCs/>
          <w:iCs/>
          <w:lang w:val="en-GB"/>
        </w:rPr>
        <w:t xml:space="preserve"> </w:t>
      </w:r>
      <w:r w:rsidR="00D15EC3" w:rsidRPr="00A858D5">
        <w:rPr>
          <w:bCs/>
          <w:iCs/>
          <w:lang w:val="en-GB"/>
        </w:rPr>
        <w:t xml:space="preserve">terms between each UGS indicator and </w:t>
      </w:r>
      <w:r w:rsidR="00A9342F" w:rsidRPr="00A858D5">
        <w:rPr>
          <w:bCs/>
          <w:iCs/>
          <w:lang w:val="en-GB"/>
        </w:rPr>
        <w:t xml:space="preserve">each of </w:t>
      </w:r>
      <w:r w:rsidR="00D15EC3" w:rsidRPr="00A858D5">
        <w:rPr>
          <w:bCs/>
          <w:iCs/>
          <w:lang w:val="en-GB"/>
        </w:rPr>
        <w:t>the three social dimensions</w:t>
      </w:r>
      <w:r w:rsidR="00065A1B" w:rsidRPr="00A858D5">
        <w:rPr>
          <w:bCs/>
          <w:iCs/>
          <w:lang w:val="en-GB"/>
        </w:rPr>
        <w:t>, for each</w:t>
      </w:r>
      <w:r w:rsidR="006722CB" w:rsidRPr="00A858D5">
        <w:rPr>
          <w:bCs/>
          <w:iCs/>
          <w:lang w:val="en-GB"/>
        </w:rPr>
        <w:t xml:space="preserve"> one</w:t>
      </w:r>
      <w:r w:rsidR="00065A1B" w:rsidRPr="00A858D5">
        <w:rPr>
          <w:bCs/>
          <w:iCs/>
          <w:lang w:val="en-GB"/>
        </w:rPr>
        <w:t xml:space="preserve"> of the outcomes. </w:t>
      </w:r>
      <w:r w:rsidR="00D502DA" w:rsidRPr="00A858D5">
        <w:rPr>
          <w:bCs/>
          <w:iCs/>
          <w:lang w:val="en-GB"/>
        </w:rPr>
        <w:t xml:space="preserve">A </w:t>
      </w:r>
      <w:r w:rsidR="001310A5" w:rsidRPr="00A858D5">
        <w:rPr>
          <w:lang w:val="en-GB"/>
        </w:rPr>
        <w:t>likelihood ratio tes</w:t>
      </w:r>
      <w:r w:rsidR="00D502DA" w:rsidRPr="00A858D5">
        <w:rPr>
          <w:lang w:val="en-GB"/>
        </w:rPr>
        <w:t>t was conducted comparing the models</w:t>
      </w:r>
      <w:r w:rsidR="001227DF" w:rsidRPr="00A858D5">
        <w:rPr>
          <w:lang w:val="en-GB"/>
        </w:rPr>
        <w:t xml:space="preserve"> including the interaction</w:t>
      </w:r>
      <w:r w:rsidR="00E81CC6" w:rsidRPr="00A858D5">
        <w:rPr>
          <w:lang w:val="en-GB"/>
        </w:rPr>
        <w:t xml:space="preserve"> with the fully adjusted </w:t>
      </w:r>
      <w:r w:rsidR="00BF6A04" w:rsidRPr="00A858D5">
        <w:rPr>
          <w:lang w:val="en-GB"/>
        </w:rPr>
        <w:t xml:space="preserve">model </w:t>
      </w:r>
      <w:r w:rsidR="00E81CC6" w:rsidRPr="00A858D5">
        <w:rPr>
          <w:lang w:val="en-GB"/>
        </w:rPr>
        <w:t xml:space="preserve">M5 (p-values in italics). </w:t>
      </w:r>
      <w:r w:rsidR="00BC6487" w:rsidRPr="00A858D5">
        <w:rPr>
          <w:lang w:val="en-GB"/>
        </w:rPr>
        <w:t>A</w:t>
      </w:r>
      <w:r w:rsidR="00051CED" w:rsidRPr="00A858D5">
        <w:rPr>
          <w:lang w:val="en-GB"/>
        </w:rPr>
        <w:t>ll</w:t>
      </w:r>
      <w:r w:rsidR="00B26D4A" w:rsidRPr="00A858D5">
        <w:rPr>
          <w:lang w:val="en-GB"/>
        </w:rPr>
        <w:t xml:space="preserve"> first-grade interaction terms were significant for </w:t>
      </w:r>
      <w:r w:rsidR="00CC693A" w:rsidRPr="00A858D5">
        <w:rPr>
          <w:lang w:val="en-GB"/>
        </w:rPr>
        <w:t>poor self-perceived health</w:t>
      </w:r>
      <w:r w:rsidR="00DB40A2" w:rsidRPr="00A858D5">
        <w:rPr>
          <w:lang w:val="en-GB"/>
        </w:rPr>
        <w:t xml:space="preserve">, </w:t>
      </w:r>
      <w:r w:rsidR="00CC693A" w:rsidRPr="00A858D5">
        <w:rPr>
          <w:lang w:val="en-GB"/>
        </w:rPr>
        <w:t xml:space="preserve">while for natural cause mortality only migrant background was </w:t>
      </w:r>
      <w:r w:rsidR="00E81CC6" w:rsidRPr="00A858D5">
        <w:rPr>
          <w:lang w:val="en-GB"/>
        </w:rPr>
        <w:t xml:space="preserve">a statistically </w:t>
      </w:r>
      <w:r w:rsidR="00CC693A" w:rsidRPr="00A858D5">
        <w:rPr>
          <w:lang w:val="en-GB"/>
        </w:rPr>
        <w:t>significant</w:t>
      </w:r>
      <w:r w:rsidR="00E81CC6" w:rsidRPr="00A858D5">
        <w:rPr>
          <w:lang w:val="en-GB"/>
        </w:rPr>
        <w:t xml:space="preserve"> effect modifier</w:t>
      </w:r>
      <w:r w:rsidR="000D7E09" w:rsidRPr="00A858D5">
        <w:rPr>
          <w:lang w:val="en-GB"/>
        </w:rPr>
        <w:t>.</w:t>
      </w:r>
      <w:r w:rsidR="00EE00D8" w:rsidRPr="00A858D5">
        <w:rPr>
          <w:lang w:val="en-GB"/>
        </w:rPr>
        <w:t xml:space="preserve"> </w:t>
      </w:r>
      <w:r w:rsidR="00F123B2" w:rsidRPr="00A858D5">
        <w:rPr>
          <w:lang w:val="en-GB"/>
        </w:rPr>
        <w:t xml:space="preserve">Results were </w:t>
      </w:r>
      <w:r w:rsidR="00EE24DA" w:rsidRPr="00A858D5">
        <w:rPr>
          <w:lang w:val="en-GB"/>
        </w:rPr>
        <w:t xml:space="preserve">overall similar for both surrounding greenness and perceived </w:t>
      </w:r>
      <w:r w:rsidR="000F06DD" w:rsidRPr="00A858D5">
        <w:rPr>
          <w:lang w:val="en-GB"/>
        </w:rPr>
        <w:t>neighbourhood</w:t>
      </w:r>
      <w:r w:rsidR="00EE24DA" w:rsidRPr="00A858D5">
        <w:rPr>
          <w:lang w:val="en-GB"/>
        </w:rPr>
        <w:t xml:space="preserve"> greenness. </w:t>
      </w:r>
      <w:r w:rsidR="002464E7" w:rsidRPr="00A858D5">
        <w:rPr>
          <w:lang w:val="en-GB"/>
        </w:rPr>
        <w:t xml:space="preserve">By </w:t>
      </w:r>
      <w:r w:rsidR="00DE5E76" w:rsidRPr="00A858D5">
        <w:rPr>
          <w:lang w:val="en-GB"/>
        </w:rPr>
        <w:t>gender</w:t>
      </w:r>
      <w:r w:rsidR="00EE00D8" w:rsidRPr="00A858D5">
        <w:rPr>
          <w:lang w:val="en-GB"/>
        </w:rPr>
        <w:t>,</w:t>
      </w:r>
      <w:r w:rsidR="002464E7" w:rsidRPr="00A858D5">
        <w:rPr>
          <w:lang w:val="en-GB"/>
        </w:rPr>
        <w:t xml:space="preserve"> slightly stronger inverse associations were observed for men compared to women regarding self-perceived health and for women compared to men regarding natural cause mortality.</w:t>
      </w:r>
      <w:r w:rsidR="00EE00D8" w:rsidRPr="00A858D5">
        <w:rPr>
          <w:lang w:val="en-GB"/>
        </w:rPr>
        <w:t xml:space="preserve"> </w:t>
      </w:r>
      <w:r w:rsidR="00735C55" w:rsidRPr="00A858D5">
        <w:rPr>
          <w:lang w:val="en-GB"/>
        </w:rPr>
        <w:t>When stratifying</w:t>
      </w:r>
      <w:r w:rsidR="008934D4" w:rsidRPr="00A858D5">
        <w:rPr>
          <w:lang w:val="en-GB"/>
        </w:rPr>
        <w:t xml:space="preserve"> by</w:t>
      </w:r>
      <w:r w:rsidR="00EB5E5F" w:rsidRPr="00A858D5">
        <w:rPr>
          <w:lang w:val="en-GB"/>
        </w:rPr>
        <w:t xml:space="preserve"> education</w:t>
      </w:r>
      <w:r w:rsidR="008934D4" w:rsidRPr="00A858D5">
        <w:rPr>
          <w:lang w:val="en-GB"/>
        </w:rPr>
        <w:t>al attainment</w:t>
      </w:r>
      <w:r w:rsidR="00735C55" w:rsidRPr="00A858D5">
        <w:rPr>
          <w:lang w:val="en-GB"/>
        </w:rPr>
        <w:t>, we</w:t>
      </w:r>
      <w:r w:rsidR="000D62ED" w:rsidRPr="00A858D5">
        <w:rPr>
          <w:lang w:val="en-GB"/>
        </w:rPr>
        <w:t xml:space="preserve"> </w:t>
      </w:r>
      <w:r w:rsidR="00BB6AE3" w:rsidRPr="00A858D5">
        <w:rPr>
          <w:lang w:val="en-GB"/>
        </w:rPr>
        <w:t>generally</w:t>
      </w:r>
      <w:r w:rsidR="000F2331" w:rsidRPr="00A858D5">
        <w:rPr>
          <w:lang w:val="en-GB"/>
        </w:rPr>
        <w:t xml:space="preserve"> observed the</w:t>
      </w:r>
      <w:r w:rsidR="00BB6AE3" w:rsidRPr="00A858D5">
        <w:rPr>
          <w:lang w:val="en-GB"/>
        </w:rPr>
        <w:t xml:space="preserve"> stronge</w:t>
      </w:r>
      <w:r w:rsidR="000F2331" w:rsidRPr="00A858D5">
        <w:rPr>
          <w:lang w:val="en-GB"/>
        </w:rPr>
        <w:t>st inverse</w:t>
      </w:r>
      <w:r w:rsidR="00BB6AE3" w:rsidRPr="00A858D5">
        <w:rPr>
          <w:lang w:val="en-GB"/>
        </w:rPr>
        <w:t xml:space="preserve"> associations among the group with </w:t>
      </w:r>
      <w:r w:rsidR="00986174" w:rsidRPr="00A858D5">
        <w:rPr>
          <w:lang w:val="en-GB"/>
        </w:rPr>
        <w:t>lower</w:t>
      </w:r>
      <w:r w:rsidR="00BB6AE3" w:rsidRPr="00A858D5">
        <w:rPr>
          <w:lang w:val="en-GB"/>
        </w:rPr>
        <w:t xml:space="preserve"> education</w:t>
      </w:r>
      <w:r w:rsidR="00800C18" w:rsidRPr="00A858D5">
        <w:rPr>
          <w:lang w:val="en-GB"/>
        </w:rPr>
        <w:t xml:space="preserve"> </w:t>
      </w:r>
      <w:r w:rsidR="000F716A" w:rsidRPr="00A858D5">
        <w:rPr>
          <w:lang w:val="en-GB"/>
        </w:rPr>
        <w:t>[</w:t>
      </w:r>
      <w:r w:rsidR="00800C18" w:rsidRPr="00A858D5">
        <w:rPr>
          <w:lang w:val="en-GB"/>
        </w:rPr>
        <w:t>e.g.</w:t>
      </w:r>
      <w:r w:rsidR="001E41DE">
        <w:rPr>
          <w:lang w:val="en-GB"/>
        </w:rPr>
        <w:t>,</w:t>
      </w:r>
      <w:r w:rsidR="00800C18" w:rsidRPr="00A858D5">
        <w:rPr>
          <w:lang w:val="en-GB"/>
        </w:rPr>
        <w:t xml:space="preserve"> for surrounding greenness and mortality</w:t>
      </w:r>
      <w:r w:rsidR="00062260" w:rsidRPr="00A858D5">
        <w:rPr>
          <w:lang w:val="en-GB"/>
        </w:rPr>
        <w:t>:</w:t>
      </w:r>
      <w:r w:rsidR="00800C18" w:rsidRPr="00A858D5">
        <w:rPr>
          <w:lang w:val="en-GB"/>
        </w:rPr>
        <w:t xml:space="preserve"> HR</w:t>
      </w:r>
      <w:r w:rsidR="00402F81" w:rsidRPr="00A858D5">
        <w:rPr>
          <w:lang w:val="en-GB"/>
        </w:rPr>
        <w:t xml:space="preserve"> </w:t>
      </w:r>
      <w:r w:rsidR="00800C18" w:rsidRPr="00A858D5">
        <w:rPr>
          <w:lang w:val="en-GB"/>
        </w:rPr>
        <w:t>0.9</w:t>
      </w:r>
      <w:r w:rsidR="00685AC5" w:rsidRPr="00A858D5">
        <w:rPr>
          <w:lang w:val="en-GB"/>
        </w:rPr>
        <w:t>4</w:t>
      </w:r>
      <w:r w:rsidR="00800C18" w:rsidRPr="00A858D5">
        <w:rPr>
          <w:lang w:val="en-GB"/>
        </w:rPr>
        <w:t xml:space="preserve"> </w:t>
      </w:r>
      <w:r w:rsidR="000F716A" w:rsidRPr="00A858D5">
        <w:rPr>
          <w:lang w:val="en-GB"/>
        </w:rPr>
        <w:t>(</w:t>
      </w:r>
      <w:r w:rsidR="00800C18" w:rsidRPr="00A858D5">
        <w:rPr>
          <w:lang w:val="en-GB"/>
        </w:rPr>
        <w:t>95%CI:</w:t>
      </w:r>
      <w:r w:rsidR="00C623C5" w:rsidRPr="00A858D5">
        <w:rPr>
          <w:lang w:val="en-GB"/>
        </w:rPr>
        <w:t xml:space="preserve"> </w:t>
      </w:r>
      <w:r w:rsidR="00800C18" w:rsidRPr="00A858D5">
        <w:rPr>
          <w:lang w:val="en-GB"/>
        </w:rPr>
        <w:t>0.9</w:t>
      </w:r>
      <w:r w:rsidR="00685AC5" w:rsidRPr="00A858D5">
        <w:rPr>
          <w:lang w:val="en-GB"/>
        </w:rPr>
        <w:t>2</w:t>
      </w:r>
      <w:r w:rsidR="000F716A" w:rsidRPr="00A858D5">
        <w:rPr>
          <w:lang w:val="en-GB"/>
        </w:rPr>
        <w:t xml:space="preserve">, </w:t>
      </w:r>
      <w:r w:rsidR="00800C18" w:rsidRPr="00A858D5">
        <w:rPr>
          <w:lang w:val="en-GB"/>
        </w:rPr>
        <w:t>0.95)</w:t>
      </w:r>
      <w:r w:rsidR="000F716A" w:rsidRPr="00A858D5">
        <w:rPr>
          <w:lang w:val="en-GB"/>
        </w:rPr>
        <w:t>]</w:t>
      </w:r>
      <w:r w:rsidR="00BB6AE3" w:rsidRPr="00A858D5">
        <w:rPr>
          <w:lang w:val="en-GB"/>
        </w:rPr>
        <w:t>.</w:t>
      </w:r>
      <w:r w:rsidR="00800C18" w:rsidRPr="00A858D5">
        <w:rPr>
          <w:lang w:val="en-GB"/>
        </w:rPr>
        <w:t xml:space="preserve"> Nevertheless,</w:t>
      </w:r>
      <w:r w:rsidR="00816064" w:rsidRPr="00A858D5">
        <w:rPr>
          <w:lang w:val="en-GB"/>
        </w:rPr>
        <w:t xml:space="preserve"> </w:t>
      </w:r>
      <w:r w:rsidR="00800C18" w:rsidRPr="00A858D5">
        <w:rPr>
          <w:lang w:val="en-GB"/>
        </w:rPr>
        <w:t>f</w:t>
      </w:r>
      <w:r w:rsidR="00BB6AE3" w:rsidRPr="00A858D5">
        <w:rPr>
          <w:lang w:val="en-GB"/>
        </w:rPr>
        <w:t>or surrounding greenness, the associations were also strong among the group with tertiary education</w:t>
      </w:r>
      <w:r w:rsidR="008B5304" w:rsidRPr="00A858D5">
        <w:rPr>
          <w:lang w:val="en-GB"/>
        </w:rPr>
        <w:t>.</w:t>
      </w:r>
      <w:r w:rsidR="00561EFD" w:rsidRPr="00A858D5">
        <w:rPr>
          <w:lang w:val="en-GB"/>
        </w:rPr>
        <w:t xml:space="preserve"> </w:t>
      </w:r>
      <w:r w:rsidR="005A2F36" w:rsidRPr="00A858D5">
        <w:rPr>
          <w:lang w:val="en-GB"/>
        </w:rPr>
        <w:t>Regarding</w:t>
      </w:r>
      <w:r w:rsidR="00A946FB" w:rsidRPr="00A858D5">
        <w:rPr>
          <w:lang w:val="en-GB"/>
        </w:rPr>
        <w:t xml:space="preserve"> migrant background,</w:t>
      </w:r>
      <w:r w:rsidR="001B4043" w:rsidRPr="00A858D5">
        <w:rPr>
          <w:lang w:val="en-GB"/>
        </w:rPr>
        <w:t xml:space="preserve"> </w:t>
      </w:r>
      <w:r w:rsidR="00220A55" w:rsidRPr="00A858D5">
        <w:rPr>
          <w:lang w:val="en-GB"/>
        </w:rPr>
        <w:t>w</w:t>
      </w:r>
      <w:r w:rsidR="00A946FB" w:rsidRPr="00A858D5">
        <w:rPr>
          <w:lang w:val="en-GB"/>
        </w:rPr>
        <w:t xml:space="preserve">e observed </w:t>
      </w:r>
      <w:r w:rsidR="00574508" w:rsidRPr="00A858D5">
        <w:rPr>
          <w:lang w:val="en-GB"/>
        </w:rPr>
        <w:t>inverse</w:t>
      </w:r>
      <w:r w:rsidR="00A33907" w:rsidRPr="00A858D5">
        <w:rPr>
          <w:lang w:val="en-GB"/>
        </w:rPr>
        <w:t xml:space="preserve"> significant</w:t>
      </w:r>
      <w:r w:rsidR="00574508" w:rsidRPr="00A858D5">
        <w:rPr>
          <w:lang w:val="en-GB"/>
        </w:rPr>
        <w:t xml:space="preserve"> association</w:t>
      </w:r>
      <w:r w:rsidR="003E798E" w:rsidRPr="00A858D5">
        <w:rPr>
          <w:lang w:val="en-GB"/>
        </w:rPr>
        <w:t>s</w:t>
      </w:r>
      <w:r w:rsidR="0026628D" w:rsidRPr="00A858D5">
        <w:rPr>
          <w:lang w:val="en-GB"/>
        </w:rPr>
        <w:t xml:space="preserve"> with both health outcomes</w:t>
      </w:r>
      <w:r w:rsidR="00A946FB" w:rsidRPr="00A858D5">
        <w:rPr>
          <w:lang w:val="en-GB"/>
        </w:rPr>
        <w:t xml:space="preserve"> </w:t>
      </w:r>
      <w:r w:rsidR="00500DE1" w:rsidRPr="00A858D5">
        <w:rPr>
          <w:lang w:val="en-GB"/>
        </w:rPr>
        <w:t>in</w:t>
      </w:r>
      <w:r w:rsidR="00446652" w:rsidRPr="00A858D5">
        <w:rPr>
          <w:lang w:val="en-GB"/>
        </w:rPr>
        <w:t xml:space="preserve"> every </w:t>
      </w:r>
      <w:r w:rsidR="00500DE1" w:rsidRPr="00A858D5">
        <w:rPr>
          <w:lang w:val="en-GB"/>
        </w:rPr>
        <w:t>stratum</w:t>
      </w:r>
      <w:r w:rsidR="000546D6" w:rsidRPr="00A858D5">
        <w:rPr>
          <w:lang w:val="en-GB"/>
        </w:rPr>
        <w:t>.</w:t>
      </w:r>
      <w:r w:rsidR="002A70BE" w:rsidRPr="00A858D5">
        <w:rPr>
          <w:lang w:val="en-GB"/>
        </w:rPr>
        <w:t xml:space="preserve"> </w:t>
      </w:r>
      <w:r w:rsidR="000546D6" w:rsidRPr="00A858D5">
        <w:rPr>
          <w:lang w:val="en-GB"/>
        </w:rPr>
        <w:t>A</w:t>
      </w:r>
      <w:r w:rsidR="002A70BE" w:rsidRPr="00A858D5">
        <w:rPr>
          <w:lang w:val="en-GB"/>
        </w:rPr>
        <w:t xml:space="preserve">mong </w:t>
      </w:r>
      <w:r w:rsidR="00500DE1" w:rsidRPr="00A858D5">
        <w:rPr>
          <w:lang w:val="en-GB"/>
        </w:rPr>
        <w:t>residents originating from LMIC</w:t>
      </w:r>
      <w:r w:rsidR="000546D6" w:rsidRPr="00A858D5">
        <w:rPr>
          <w:lang w:val="en-GB"/>
        </w:rPr>
        <w:t>,</w:t>
      </w:r>
      <w:r w:rsidR="002A70BE" w:rsidRPr="00A858D5">
        <w:rPr>
          <w:lang w:val="en-GB"/>
        </w:rPr>
        <w:t xml:space="preserve"> the association </w:t>
      </w:r>
      <w:r w:rsidR="00F01A79" w:rsidRPr="00A858D5">
        <w:rPr>
          <w:lang w:val="en-GB"/>
        </w:rPr>
        <w:t xml:space="preserve">between perceived </w:t>
      </w:r>
      <w:r w:rsidR="00397280" w:rsidRPr="00A858D5">
        <w:rPr>
          <w:lang w:val="en-GB"/>
        </w:rPr>
        <w:t>neighbourhood</w:t>
      </w:r>
      <w:r w:rsidR="00F01A79" w:rsidRPr="00A858D5">
        <w:rPr>
          <w:lang w:val="en-GB"/>
        </w:rPr>
        <w:t xml:space="preserve"> greenness and natural cause mortality </w:t>
      </w:r>
      <w:r w:rsidR="002A70BE" w:rsidRPr="00A858D5">
        <w:rPr>
          <w:lang w:val="en-GB"/>
        </w:rPr>
        <w:t>was not significant</w:t>
      </w:r>
      <w:r w:rsidR="00675772" w:rsidRPr="00A858D5">
        <w:rPr>
          <w:lang w:val="en-GB"/>
        </w:rPr>
        <w:t>.</w:t>
      </w:r>
    </w:p>
    <w:p w14:paraId="2014DC74" w14:textId="4EDECA75" w:rsidR="003B0628" w:rsidRPr="00A858D5" w:rsidRDefault="003B0628">
      <w:pPr>
        <w:rPr>
          <w:lang w:val="en-GB"/>
        </w:rPr>
      </w:pPr>
    </w:p>
    <w:p w14:paraId="5409CCE2" w14:textId="77777777" w:rsidR="003B0628" w:rsidRPr="00A858D5" w:rsidRDefault="003B0628">
      <w:pPr>
        <w:rPr>
          <w:lang w:val="en-GB"/>
        </w:rPr>
      </w:pPr>
    </w:p>
    <w:p w14:paraId="5877D581" w14:textId="77777777" w:rsidR="003B0628" w:rsidRPr="00A858D5" w:rsidRDefault="003B0628">
      <w:pPr>
        <w:rPr>
          <w:lang w:val="en-GB"/>
        </w:rPr>
        <w:sectPr w:rsidR="003B0628" w:rsidRPr="00A858D5" w:rsidSect="0012127E">
          <w:pgSz w:w="11900" w:h="16840"/>
          <w:pgMar w:top="1440" w:right="1440" w:bottom="1440" w:left="1440" w:header="708" w:footer="708" w:gutter="0"/>
          <w:cols w:space="708"/>
          <w:docGrid w:linePitch="360"/>
        </w:sectPr>
      </w:pPr>
    </w:p>
    <w:tbl>
      <w:tblPr>
        <w:tblW w:w="5000" w:type="pct"/>
        <w:tblLook w:val="04A0" w:firstRow="1" w:lastRow="0" w:firstColumn="1" w:lastColumn="0" w:noHBand="0" w:noVBand="1"/>
      </w:tblPr>
      <w:tblGrid>
        <w:gridCol w:w="585"/>
        <w:gridCol w:w="2865"/>
        <w:gridCol w:w="2479"/>
        <w:gridCol w:w="2777"/>
        <w:gridCol w:w="2479"/>
        <w:gridCol w:w="2775"/>
      </w:tblGrid>
      <w:tr w:rsidR="003B0628" w:rsidRPr="00A858D5" w14:paraId="5C2E9B95" w14:textId="77777777" w:rsidTr="001745CB">
        <w:trPr>
          <w:trHeight w:val="320"/>
        </w:trPr>
        <w:tc>
          <w:tcPr>
            <w:tcW w:w="174" w:type="pct"/>
            <w:tcBorders>
              <w:top w:val="single" w:sz="4" w:space="0" w:color="auto"/>
              <w:left w:val="nil"/>
              <w:bottom w:val="single" w:sz="4" w:space="0" w:color="auto"/>
              <w:right w:val="nil"/>
            </w:tcBorders>
            <w:shd w:val="clear" w:color="auto" w:fill="auto"/>
            <w:noWrap/>
            <w:vAlign w:val="bottom"/>
            <w:hideMark/>
          </w:tcPr>
          <w:p w14:paraId="21B1247D"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lastRenderedPageBreak/>
              <w:t> </w:t>
            </w:r>
          </w:p>
        </w:tc>
        <w:tc>
          <w:tcPr>
            <w:tcW w:w="1037" w:type="pct"/>
            <w:tcBorders>
              <w:top w:val="single" w:sz="4" w:space="0" w:color="auto"/>
              <w:left w:val="nil"/>
              <w:bottom w:val="single" w:sz="4" w:space="0" w:color="auto"/>
              <w:right w:val="nil"/>
            </w:tcBorders>
            <w:shd w:val="clear" w:color="auto" w:fill="auto"/>
            <w:noWrap/>
            <w:vAlign w:val="bottom"/>
            <w:hideMark/>
          </w:tcPr>
          <w:p w14:paraId="23D18C54"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895" w:type="pct"/>
            <w:gridSpan w:val="2"/>
            <w:tcBorders>
              <w:top w:val="single" w:sz="4" w:space="0" w:color="auto"/>
              <w:left w:val="nil"/>
              <w:bottom w:val="single" w:sz="4" w:space="0" w:color="auto"/>
              <w:right w:val="nil"/>
            </w:tcBorders>
            <w:shd w:val="clear" w:color="auto" w:fill="auto"/>
            <w:noWrap/>
            <w:vAlign w:val="center"/>
            <w:hideMark/>
          </w:tcPr>
          <w:p w14:paraId="39013FD8"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Poor self-perceived health †</w:t>
            </w:r>
          </w:p>
        </w:tc>
        <w:tc>
          <w:tcPr>
            <w:tcW w:w="1895" w:type="pct"/>
            <w:gridSpan w:val="2"/>
            <w:tcBorders>
              <w:top w:val="single" w:sz="4" w:space="0" w:color="auto"/>
              <w:left w:val="nil"/>
              <w:bottom w:val="single" w:sz="4" w:space="0" w:color="auto"/>
              <w:right w:val="nil"/>
            </w:tcBorders>
            <w:shd w:val="clear" w:color="auto" w:fill="auto"/>
            <w:noWrap/>
            <w:vAlign w:val="center"/>
            <w:hideMark/>
          </w:tcPr>
          <w:p w14:paraId="7FFB0653"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Natural cause mortality ‡</w:t>
            </w:r>
          </w:p>
        </w:tc>
      </w:tr>
      <w:tr w:rsidR="003B0628" w:rsidRPr="00A858D5" w14:paraId="1E8AF047" w14:textId="77777777" w:rsidTr="001745CB">
        <w:trPr>
          <w:trHeight w:val="320"/>
        </w:trPr>
        <w:tc>
          <w:tcPr>
            <w:tcW w:w="174" w:type="pct"/>
            <w:tcBorders>
              <w:top w:val="nil"/>
              <w:left w:val="nil"/>
              <w:bottom w:val="single" w:sz="4" w:space="0" w:color="auto"/>
              <w:right w:val="nil"/>
            </w:tcBorders>
            <w:shd w:val="clear" w:color="auto" w:fill="auto"/>
            <w:noWrap/>
            <w:vAlign w:val="bottom"/>
            <w:hideMark/>
          </w:tcPr>
          <w:p w14:paraId="03137FAB"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037" w:type="pct"/>
            <w:tcBorders>
              <w:top w:val="nil"/>
              <w:left w:val="nil"/>
              <w:bottom w:val="single" w:sz="4" w:space="0" w:color="auto"/>
              <w:right w:val="nil"/>
            </w:tcBorders>
            <w:shd w:val="clear" w:color="auto" w:fill="auto"/>
            <w:noWrap/>
            <w:vAlign w:val="bottom"/>
            <w:hideMark/>
          </w:tcPr>
          <w:p w14:paraId="1E15831D"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891" w:type="pct"/>
            <w:tcBorders>
              <w:top w:val="single" w:sz="4" w:space="0" w:color="auto"/>
              <w:left w:val="nil"/>
              <w:bottom w:val="single" w:sz="4" w:space="0" w:color="auto"/>
              <w:right w:val="nil"/>
            </w:tcBorders>
            <w:shd w:val="clear" w:color="auto" w:fill="auto"/>
            <w:noWrap/>
            <w:vAlign w:val="center"/>
            <w:hideMark/>
          </w:tcPr>
          <w:p w14:paraId="3A53A7A9"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Surrounding greenness</w:t>
            </w:r>
          </w:p>
        </w:tc>
        <w:tc>
          <w:tcPr>
            <w:tcW w:w="1004" w:type="pct"/>
            <w:tcBorders>
              <w:top w:val="single" w:sz="4" w:space="0" w:color="auto"/>
              <w:left w:val="nil"/>
              <w:bottom w:val="single" w:sz="4" w:space="0" w:color="auto"/>
              <w:right w:val="nil"/>
            </w:tcBorders>
            <w:shd w:val="clear" w:color="auto" w:fill="auto"/>
            <w:vAlign w:val="center"/>
            <w:hideMark/>
          </w:tcPr>
          <w:p w14:paraId="3653CABF"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Perceived neighbourhood greenness</w:t>
            </w:r>
          </w:p>
        </w:tc>
        <w:tc>
          <w:tcPr>
            <w:tcW w:w="891" w:type="pct"/>
            <w:tcBorders>
              <w:top w:val="single" w:sz="4" w:space="0" w:color="auto"/>
              <w:left w:val="nil"/>
              <w:bottom w:val="single" w:sz="4" w:space="0" w:color="auto"/>
              <w:right w:val="nil"/>
            </w:tcBorders>
            <w:shd w:val="clear" w:color="auto" w:fill="auto"/>
            <w:noWrap/>
            <w:vAlign w:val="center"/>
            <w:hideMark/>
          </w:tcPr>
          <w:p w14:paraId="4795DEBF"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Surrounding greenness</w:t>
            </w:r>
          </w:p>
        </w:tc>
        <w:tc>
          <w:tcPr>
            <w:tcW w:w="1004" w:type="pct"/>
            <w:tcBorders>
              <w:top w:val="single" w:sz="4" w:space="0" w:color="auto"/>
              <w:left w:val="nil"/>
              <w:bottom w:val="single" w:sz="4" w:space="0" w:color="auto"/>
              <w:right w:val="nil"/>
            </w:tcBorders>
            <w:shd w:val="clear" w:color="auto" w:fill="auto"/>
            <w:vAlign w:val="center"/>
            <w:hideMark/>
          </w:tcPr>
          <w:p w14:paraId="5B8F2BAA"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Perceived neighbourhood greenness</w:t>
            </w:r>
          </w:p>
        </w:tc>
      </w:tr>
      <w:tr w:rsidR="003B0628" w:rsidRPr="00A858D5" w14:paraId="72CD5A56" w14:textId="77777777" w:rsidTr="001745CB">
        <w:trPr>
          <w:trHeight w:val="320"/>
        </w:trPr>
        <w:tc>
          <w:tcPr>
            <w:tcW w:w="174" w:type="pct"/>
            <w:tcBorders>
              <w:top w:val="nil"/>
              <w:left w:val="nil"/>
              <w:bottom w:val="single" w:sz="4" w:space="0" w:color="auto"/>
              <w:right w:val="nil"/>
            </w:tcBorders>
            <w:shd w:val="clear" w:color="auto" w:fill="auto"/>
            <w:noWrap/>
            <w:vAlign w:val="bottom"/>
            <w:hideMark/>
          </w:tcPr>
          <w:p w14:paraId="53308D43"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037" w:type="pct"/>
            <w:tcBorders>
              <w:top w:val="nil"/>
              <w:left w:val="nil"/>
              <w:bottom w:val="single" w:sz="4" w:space="0" w:color="auto"/>
              <w:right w:val="nil"/>
            </w:tcBorders>
            <w:shd w:val="clear" w:color="auto" w:fill="auto"/>
            <w:noWrap/>
            <w:vAlign w:val="bottom"/>
            <w:hideMark/>
          </w:tcPr>
          <w:p w14:paraId="08A82965"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891" w:type="pct"/>
            <w:tcBorders>
              <w:top w:val="nil"/>
              <w:left w:val="nil"/>
              <w:bottom w:val="single" w:sz="4" w:space="0" w:color="auto"/>
              <w:right w:val="nil"/>
            </w:tcBorders>
            <w:shd w:val="clear" w:color="auto" w:fill="auto"/>
            <w:noWrap/>
            <w:vAlign w:val="center"/>
            <w:hideMark/>
          </w:tcPr>
          <w:p w14:paraId="3648CA4E"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OR (95%CI)</w:t>
            </w:r>
          </w:p>
        </w:tc>
        <w:tc>
          <w:tcPr>
            <w:tcW w:w="1004" w:type="pct"/>
            <w:tcBorders>
              <w:top w:val="nil"/>
              <w:left w:val="nil"/>
              <w:bottom w:val="single" w:sz="4" w:space="0" w:color="auto"/>
              <w:right w:val="nil"/>
            </w:tcBorders>
            <w:shd w:val="clear" w:color="auto" w:fill="auto"/>
            <w:noWrap/>
            <w:vAlign w:val="center"/>
            <w:hideMark/>
          </w:tcPr>
          <w:p w14:paraId="2185D82C"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OR (95%CI)</w:t>
            </w:r>
          </w:p>
        </w:tc>
        <w:tc>
          <w:tcPr>
            <w:tcW w:w="891" w:type="pct"/>
            <w:tcBorders>
              <w:top w:val="nil"/>
              <w:left w:val="nil"/>
              <w:bottom w:val="single" w:sz="4" w:space="0" w:color="auto"/>
              <w:right w:val="nil"/>
            </w:tcBorders>
            <w:shd w:val="clear" w:color="auto" w:fill="auto"/>
            <w:noWrap/>
            <w:vAlign w:val="center"/>
            <w:hideMark/>
          </w:tcPr>
          <w:p w14:paraId="26C2CE8D"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HR (95%CI)</w:t>
            </w:r>
          </w:p>
        </w:tc>
        <w:tc>
          <w:tcPr>
            <w:tcW w:w="1004" w:type="pct"/>
            <w:tcBorders>
              <w:top w:val="nil"/>
              <w:left w:val="nil"/>
              <w:bottom w:val="single" w:sz="4" w:space="0" w:color="auto"/>
              <w:right w:val="nil"/>
            </w:tcBorders>
            <w:shd w:val="clear" w:color="auto" w:fill="auto"/>
            <w:noWrap/>
            <w:vAlign w:val="center"/>
            <w:hideMark/>
          </w:tcPr>
          <w:p w14:paraId="1A7AC467" w14:textId="77777777" w:rsidR="003B0628" w:rsidRPr="00A858D5" w:rsidRDefault="003B0628"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HR (95%CI)</w:t>
            </w:r>
          </w:p>
        </w:tc>
      </w:tr>
      <w:tr w:rsidR="003B0628" w:rsidRPr="00A858D5" w14:paraId="7730FBA8" w14:textId="77777777" w:rsidTr="001745CB">
        <w:trPr>
          <w:trHeight w:val="320"/>
        </w:trPr>
        <w:tc>
          <w:tcPr>
            <w:tcW w:w="1210" w:type="pct"/>
            <w:gridSpan w:val="2"/>
            <w:tcBorders>
              <w:top w:val="single" w:sz="4" w:space="0" w:color="auto"/>
              <w:left w:val="nil"/>
              <w:bottom w:val="single" w:sz="4" w:space="0" w:color="auto"/>
              <w:right w:val="nil"/>
            </w:tcBorders>
            <w:shd w:val="clear" w:color="auto" w:fill="auto"/>
            <w:noWrap/>
            <w:vAlign w:val="center"/>
            <w:hideMark/>
          </w:tcPr>
          <w:p w14:paraId="4B0F9AEA" w14:textId="77777777" w:rsidR="003B0628" w:rsidRPr="00A858D5" w:rsidRDefault="003B0628" w:rsidP="001745CB">
            <w:pPr>
              <w:rPr>
                <w:rFonts w:ascii="Calibri" w:hAnsi="Calibri"/>
                <w:b/>
                <w:bCs/>
                <w:color w:val="000000"/>
                <w:sz w:val="21"/>
                <w:szCs w:val="21"/>
                <w:lang w:val="en-GB"/>
              </w:rPr>
            </w:pPr>
            <w:r w:rsidRPr="00A858D5">
              <w:rPr>
                <w:rFonts w:ascii="Calibri" w:hAnsi="Calibri"/>
                <w:b/>
                <w:bCs/>
                <w:color w:val="000000"/>
                <w:sz w:val="21"/>
                <w:szCs w:val="21"/>
                <w:lang w:val="en-GB"/>
              </w:rPr>
              <w:t>Gender</w:t>
            </w:r>
          </w:p>
        </w:tc>
        <w:tc>
          <w:tcPr>
            <w:tcW w:w="891" w:type="pct"/>
            <w:tcBorders>
              <w:top w:val="nil"/>
              <w:left w:val="nil"/>
              <w:bottom w:val="single" w:sz="4" w:space="0" w:color="auto"/>
              <w:right w:val="nil"/>
            </w:tcBorders>
            <w:shd w:val="clear" w:color="auto" w:fill="auto"/>
            <w:noWrap/>
            <w:vAlign w:val="center"/>
            <w:hideMark/>
          </w:tcPr>
          <w:p w14:paraId="30B6DEA5" w14:textId="77777777" w:rsidR="003B0628" w:rsidRPr="00A858D5" w:rsidRDefault="003B0628" w:rsidP="001745CB">
            <w:pPr>
              <w:jc w:val="center"/>
              <w:rPr>
                <w:rFonts w:ascii="Calibri" w:hAnsi="Calibri"/>
                <w:color w:val="000000"/>
                <w:sz w:val="21"/>
                <w:szCs w:val="21"/>
                <w:lang w:val="en-GB"/>
              </w:rPr>
            </w:pPr>
          </w:p>
        </w:tc>
        <w:tc>
          <w:tcPr>
            <w:tcW w:w="1004" w:type="pct"/>
            <w:tcBorders>
              <w:top w:val="nil"/>
              <w:left w:val="nil"/>
              <w:bottom w:val="single" w:sz="4" w:space="0" w:color="auto"/>
              <w:right w:val="nil"/>
            </w:tcBorders>
            <w:shd w:val="clear" w:color="auto" w:fill="auto"/>
            <w:noWrap/>
            <w:vAlign w:val="center"/>
            <w:hideMark/>
          </w:tcPr>
          <w:p w14:paraId="72883F66" w14:textId="77777777" w:rsidR="003B0628" w:rsidRPr="00A858D5" w:rsidRDefault="003B0628" w:rsidP="001745CB">
            <w:pPr>
              <w:jc w:val="center"/>
              <w:rPr>
                <w:rFonts w:ascii="Calibri" w:hAnsi="Calibri"/>
                <w:color w:val="000000"/>
                <w:sz w:val="21"/>
                <w:szCs w:val="21"/>
                <w:lang w:val="en-GB"/>
              </w:rPr>
            </w:pPr>
          </w:p>
        </w:tc>
        <w:tc>
          <w:tcPr>
            <w:tcW w:w="891" w:type="pct"/>
            <w:tcBorders>
              <w:top w:val="nil"/>
              <w:left w:val="nil"/>
              <w:bottom w:val="single" w:sz="4" w:space="0" w:color="auto"/>
              <w:right w:val="nil"/>
            </w:tcBorders>
            <w:shd w:val="clear" w:color="auto" w:fill="auto"/>
            <w:noWrap/>
            <w:vAlign w:val="center"/>
            <w:hideMark/>
          </w:tcPr>
          <w:p w14:paraId="6FF515A0" w14:textId="77777777" w:rsidR="003B0628" w:rsidRPr="00A858D5" w:rsidRDefault="003B0628" w:rsidP="001745CB">
            <w:pPr>
              <w:jc w:val="center"/>
              <w:rPr>
                <w:rFonts w:ascii="Calibri" w:hAnsi="Calibri"/>
                <w:color w:val="000000"/>
                <w:sz w:val="21"/>
                <w:szCs w:val="21"/>
                <w:lang w:val="en-GB"/>
              </w:rPr>
            </w:pPr>
          </w:p>
        </w:tc>
        <w:tc>
          <w:tcPr>
            <w:tcW w:w="1004" w:type="pct"/>
            <w:tcBorders>
              <w:top w:val="nil"/>
              <w:left w:val="nil"/>
              <w:bottom w:val="single" w:sz="4" w:space="0" w:color="auto"/>
              <w:right w:val="nil"/>
            </w:tcBorders>
            <w:shd w:val="clear" w:color="auto" w:fill="auto"/>
            <w:noWrap/>
            <w:vAlign w:val="center"/>
            <w:hideMark/>
          </w:tcPr>
          <w:p w14:paraId="284B98C8" w14:textId="77777777" w:rsidR="003B0628" w:rsidRPr="00A858D5" w:rsidRDefault="003B0628" w:rsidP="001745CB">
            <w:pPr>
              <w:jc w:val="center"/>
              <w:rPr>
                <w:rFonts w:ascii="Calibri" w:hAnsi="Calibri"/>
                <w:color w:val="000000"/>
                <w:sz w:val="21"/>
                <w:szCs w:val="21"/>
                <w:lang w:val="en-GB"/>
              </w:rPr>
            </w:pPr>
          </w:p>
        </w:tc>
      </w:tr>
      <w:tr w:rsidR="003B0628" w:rsidRPr="00A858D5" w14:paraId="4B93878D" w14:textId="77777777" w:rsidTr="001745CB">
        <w:trPr>
          <w:trHeight w:val="320"/>
        </w:trPr>
        <w:tc>
          <w:tcPr>
            <w:tcW w:w="174" w:type="pct"/>
            <w:tcBorders>
              <w:top w:val="nil"/>
              <w:left w:val="nil"/>
              <w:bottom w:val="nil"/>
              <w:right w:val="nil"/>
            </w:tcBorders>
            <w:shd w:val="clear" w:color="auto" w:fill="auto"/>
            <w:noWrap/>
            <w:vAlign w:val="center"/>
            <w:hideMark/>
          </w:tcPr>
          <w:p w14:paraId="2D33556B"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2560A73D"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Women</w:t>
            </w:r>
          </w:p>
        </w:tc>
        <w:tc>
          <w:tcPr>
            <w:tcW w:w="891" w:type="pct"/>
            <w:tcBorders>
              <w:top w:val="nil"/>
              <w:left w:val="nil"/>
              <w:bottom w:val="nil"/>
              <w:right w:val="nil"/>
            </w:tcBorders>
            <w:shd w:val="clear" w:color="auto" w:fill="auto"/>
            <w:noWrap/>
            <w:vAlign w:val="center"/>
            <w:hideMark/>
          </w:tcPr>
          <w:p w14:paraId="07FC9FF0"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(0.91, </w:t>
            </w:r>
            <w:proofErr w:type="gramStart"/>
            <w:r w:rsidRPr="00A858D5">
              <w:rPr>
                <w:rFonts w:ascii="Calibri" w:hAnsi="Calibri"/>
                <w:color w:val="000000"/>
                <w:sz w:val="21"/>
                <w:szCs w:val="21"/>
                <w:lang w:val="en-GB"/>
              </w:rPr>
              <w:t>0.96)*</w:t>
            </w:r>
            <w:proofErr w:type="gramEnd"/>
          </w:p>
        </w:tc>
        <w:tc>
          <w:tcPr>
            <w:tcW w:w="1004" w:type="pct"/>
            <w:tcBorders>
              <w:top w:val="nil"/>
              <w:left w:val="nil"/>
              <w:bottom w:val="nil"/>
              <w:right w:val="nil"/>
            </w:tcBorders>
            <w:shd w:val="clear" w:color="auto" w:fill="auto"/>
            <w:noWrap/>
            <w:vAlign w:val="center"/>
            <w:hideMark/>
          </w:tcPr>
          <w:p w14:paraId="01906653"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(0.92, </w:t>
            </w:r>
            <w:proofErr w:type="gramStart"/>
            <w:r w:rsidRPr="00A858D5">
              <w:rPr>
                <w:rFonts w:ascii="Calibri" w:hAnsi="Calibri"/>
                <w:color w:val="000000"/>
                <w:sz w:val="21"/>
                <w:szCs w:val="21"/>
                <w:lang w:val="en-GB"/>
              </w:rPr>
              <w:t>0.98)*</w:t>
            </w:r>
            <w:proofErr w:type="gramEnd"/>
          </w:p>
        </w:tc>
        <w:tc>
          <w:tcPr>
            <w:tcW w:w="891" w:type="pct"/>
            <w:tcBorders>
              <w:top w:val="nil"/>
              <w:left w:val="nil"/>
              <w:bottom w:val="nil"/>
              <w:right w:val="nil"/>
            </w:tcBorders>
            <w:shd w:val="clear" w:color="auto" w:fill="auto"/>
            <w:noWrap/>
            <w:vAlign w:val="center"/>
            <w:hideMark/>
          </w:tcPr>
          <w:p w14:paraId="1BB2311B"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(0.91, </w:t>
            </w:r>
            <w:proofErr w:type="gramStart"/>
            <w:r w:rsidRPr="00A858D5">
              <w:rPr>
                <w:rFonts w:ascii="Calibri" w:hAnsi="Calibri"/>
                <w:color w:val="000000"/>
                <w:sz w:val="21"/>
                <w:szCs w:val="21"/>
                <w:lang w:val="en-GB"/>
              </w:rPr>
              <w:t>0.95)*</w:t>
            </w:r>
            <w:proofErr w:type="gramEnd"/>
          </w:p>
        </w:tc>
        <w:tc>
          <w:tcPr>
            <w:tcW w:w="1004" w:type="pct"/>
            <w:tcBorders>
              <w:top w:val="nil"/>
              <w:left w:val="nil"/>
              <w:bottom w:val="nil"/>
              <w:right w:val="nil"/>
            </w:tcBorders>
            <w:shd w:val="clear" w:color="auto" w:fill="auto"/>
            <w:noWrap/>
            <w:vAlign w:val="center"/>
            <w:hideMark/>
          </w:tcPr>
          <w:p w14:paraId="1E12A012"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0.94 (0.92, </w:t>
            </w:r>
            <w:proofErr w:type="gramStart"/>
            <w:r w:rsidRPr="00A858D5">
              <w:rPr>
                <w:rFonts w:ascii="Calibri" w:hAnsi="Calibri"/>
                <w:color w:val="000000"/>
                <w:sz w:val="21"/>
                <w:szCs w:val="21"/>
                <w:lang w:val="en-GB"/>
              </w:rPr>
              <w:t>0.96)*</w:t>
            </w:r>
            <w:proofErr w:type="gramEnd"/>
          </w:p>
        </w:tc>
      </w:tr>
      <w:tr w:rsidR="003B0628" w:rsidRPr="00A858D5" w14:paraId="30E7E10E" w14:textId="77777777" w:rsidTr="001745CB">
        <w:trPr>
          <w:trHeight w:val="320"/>
        </w:trPr>
        <w:tc>
          <w:tcPr>
            <w:tcW w:w="174" w:type="pct"/>
            <w:tcBorders>
              <w:top w:val="nil"/>
              <w:left w:val="nil"/>
              <w:bottom w:val="nil"/>
              <w:right w:val="nil"/>
            </w:tcBorders>
            <w:shd w:val="clear" w:color="auto" w:fill="auto"/>
            <w:noWrap/>
            <w:vAlign w:val="center"/>
            <w:hideMark/>
          </w:tcPr>
          <w:p w14:paraId="75C40679"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7C3934CF"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Men</w:t>
            </w:r>
          </w:p>
        </w:tc>
        <w:tc>
          <w:tcPr>
            <w:tcW w:w="891" w:type="pct"/>
            <w:tcBorders>
              <w:top w:val="nil"/>
              <w:left w:val="nil"/>
              <w:bottom w:val="nil"/>
              <w:right w:val="nil"/>
            </w:tcBorders>
            <w:shd w:val="clear" w:color="auto" w:fill="auto"/>
            <w:noWrap/>
            <w:vAlign w:val="center"/>
            <w:hideMark/>
          </w:tcPr>
          <w:p w14:paraId="39ABD5EC"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0.92 (0.90, </w:t>
            </w:r>
            <w:proofErr w:type="gramStart"/>
            <w:r w:rsidRPr="00A858D5">
              <w:rPr>
                <w:rFonts w:ascii="Calibri" w:hAnsi="Calibri"/>
                <w:color w:val="000000"/>
                <w:sz w:val="21"/>
                <w:szCs w:val="21"/>
                <w:lang w:val="en-GB"/>
              </w:rPr>
              <w:t>0.95)*</w:t>
            </w:r>
            <w:proofErr w:type="gramEnd"/>
          </w:p>
        </w:tc>
        <w:tc>
          <w:tcPr>
            <w:tcW w:w="1004" w:type="pct"/>
            <w:tcBorders>
              <w:top w:val="nil"/>
              <w:left w:val="nil"/>
              <w:bottom w:val="nil"/>
              <w:right w:val="nil"/>
            </w:tcBorders>
            <w:shd w:val="clear" w:color="auto" w:fill="auto"/>
            <w:noWrap/>
            <w:vAlign w:val="center"/>
            <w:hideMark/>
          </w:tcPr>
          <w:p w14:paraId="103A87CB"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(0.90, </w:t>
            </w:r>
            <w:proofErr w:type="gramStart"/>
            <w:r w:rsidRPr="00A858D5">
              <w:rPr>
                <w:rFonts w:ascii="Calibri" w:hAnsi="Calibri"/>
                <w:color w:val="000000"/>
                <w:sz w:val="21"/>
                <w:szCs w:val="21"/>
                <w:lang w:val="en-GB"/>
              </w:rPr>
              <w:t>0.95)*</w:t>
            </w:r>
            <w:proofErr w:type="gramEnd"/>
          </w:p>
        </w:tc>
        <w:tc>
          <w:tcPr>
            <w:tcW w:w="891" w:type="pct"/>
            <w:tcBorders>
              <w:top w:val="nil"/>
              <w:left w:val="nil"/>
              <w:bottom w:val="nil"/>
              <w:right w:val="nil"/>
            </w:tcBorders>
            <w:shd w:val="clear" w:color="auto" w:fill="auto"/>
            <w:noWrap/>
            <w:vAlign w:val="center"/>
            <w:hideMark/>
          </w:tcPr>
          <w:p w14:paraId="30782E0B"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0.94 (0.92, </w:t>
            </w:r>
            <w:proofErr w:type="gramStart"/>
            <w:r w:rsidRPr="00A858D5">
              <w:rPr>
                <w:rFonts w:ascii="Calibri" w:hAnsi="Calibri"/>
                <w:color w:val="000000"/>
                <w:sz w:val="21"/>
                <w:szCs w:val="21"/>
                <w:lang w:val="en-GB"/>
              </w:rPr>
              <w:t>0.97)*</w:t>
            </w:r>
            <w:proofErr w:type="gramEnd"/>
          </w:p>
        </w:tc>
        <w:tc>
          <w:tcPr>
            <w:tcW w:w="1004" w:type="pct"/>
            <w:tcBorders>
              <w:top w:val="nil"/>
              <w:left w:val="nil"/>
              <w:bottom w:val="nil"/>
              <w:right w:val="nil"/>
            </w:tcBorders>
            <w:shd w:val="clear" w:color="auto" w:fill="auto"/>
            <w:noWrap/>
            <w:vAlign w:val="center"/>
            <w:hideMark/>
          </w:tcPr>
          <w:p w14:paraId="0D8B37C9"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0.96 (0.94, </w:t>
            </w:r>
            <w:proofErr w:type="gramStart"/>
            <w:r w:rsidRPr="00A858D5">
              <w:rPr>
                <w:rFonts w:ascii="Calibri" w:hAnsi="Calibri"/>
                <w:color w:val="000000"/>
                <w:sz w:val="21"/>
                <w:szCs w:val="21"/>
                <w:lang w:val="en-GB"/>
              </w:rPr>
              <w:t>0.98)*</w:t>
            </w:r>
            <w:proofErr w:type="gramEnd"/>
          </w:p>
        </w:tc>
      </w:tr>
      <w:tr w:rsidR="003B0628" w:rsidRPr="00A858D5" w14:paraId="02D986C2" w14:textId="77777777" w:rsidTr="001745CB">
        <w:trPr>
          <w:trHeight w:val="320"/>
        </w:trPr>
        <w:tc>
          <w:tcPr>
            <w:tcW w:w="174" w:type="pct"/>
            <w:tcBorders>
              <w:top w:val="nil"/>
              <w:left w:val="nil"/>
              <w:bottom w:val="single" w:sz="4" w:space="0" w:color="auto"/>
              <w:right w:val="nil"/>
            </w:tcBorders>
            <w:shd w:val="clear" w:color="auto" w:fill="auto"/>
            <w:noWrap/>
            <w:vAlign w:val="center"/>
            <w:hideMark/>
          </w:tcPr>
          <w:p w14:paraId="4AB1910E"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037" w:type="pct"/>
            <w:tcBorders>
              <w:top w:val="nil"/>
              <w:left w:val="nil"/>
              <w:bottom w:val="single" w:sz="4" w:space="0" w:color="auto"/>
              <w:right w:val="nil"/>
            </w:tcBorders>
            <w:shd w:val="clear" w:color="auto" w:fill="auto"/>
            <w:noWrap/>
            <w:vAlign w:val="center"/>
            <w:hideMark/>
          </w:tcPr>
          <w:p w14:paraId="19169E0E" w14:textId="77777777" w:rsidR="003B0628" w:rsidRPr="00A858D5" w:rsidRDefault="003B0628" w:rsidP="001745CB">
            <w:pPr>
              <w:rPr>
                <w:rFonts w:ascii="Calibri" w:hAnsi="Calibri"/>
                <w:i/>
                <w:iCs/>
                <w:color w:val="000000"/>
                <w:sz w:val="21"/>
                <w:szCs w:val="21"/>
                <w:lang w:val="en-GB"/>
              </w:rPr>
            </w:pPr>
            <w:r w:rsidRPr="00A858D5">
              <w:rPr>
                <w:rFonts w:ascii="Calibri" w:hAnsi="Calibri"/>
                <w:i/>
                <w:iCs/>
                <w:color w:val="000000"/>
                <w:sz w:val="21"/>
                <w:szCs w:val="21"/>
                <w:lang w:val="en-GB"/>
              </w:rPr>
              <w:t xml:space="preserve">p-value for interaction </w:t>
            </w:r>
            <w:r w:rsidRPr="00A858D5">
              <w:rPr>
                <w:rFonts w:ascii="Calibri" w:hAnsi="Calibri" w:cs="Calibri"/>
                <w:i/>
                <w:iCs/>
                <w:color w:val="000000"/>
                <w:sz w:val="21"/>
                <w:szCs w:val="21"/>
                <w:vertAlign w:val="superscript"/>
                <w:lang w:val="en-GB"/>
              </w:rPr>
              <w:t>a</w:t>
            </w:r>
          </w:p>
        </w:tc>
        <w:tc>
          <w:tcPr>
            <w:tcW w:w="891" w:type="pct"/>
            <w:tcBorders>
              <w:top w:val="nil"/>
              <w:left w:val="nil"/>
              <w:bottom w:val="single" w:sz="4" w:space="0" w:color="auto"/>
              <w:right w:val="nil"/>
            </w:tcBorders>
            <w:shd w:val="clear" w:color="auto" w:fill="auto"/>
            <w:noWrap/>
            <w:vAlign w:val="center"/>
            <w:hideMark/>
          </w:tcPr>
          <w:p w14:paraId="13BA3C01"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&lt;0.001</w:t>
            </w:r>
          </w:p>
        </w:tc>
        <w:tc>
          <w:tcPr>
            <w:tcW w:w="1004" w:type="pct"/>
            <w:tcBorders>
              <w:top w:val="nil"/>
              <w:left w:val="nil"/>
              <w:bottom w:val="single" w:sz="4" w:space="0" w:color="auto"/>
              <w:right w:val="nil"/>
            </w:tcBorders>
            <w:shd w:val="clear" w:color="auto" w:fill="auto"/>
            <w:noWrap/>
            <w:vAlign w:val="center"/>
            <w:hideMark/>
          </w:tcPr>
          <w:p w14:paraId="6A9CBFB0"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&lt;0.001</w:t>
            </w:r>
          </w:p>
        </w:tc>
        <w:tc>
          <w:tcPr>
            <w:tcW w:w="891" w:type="pct"/>
            <w:tcBorders>
              <w:top w:val="nil"/>
              <w:left w:val="nil"/>
              <w:bottom w:val="single" w:sz="4" w:space="0" w:color="auto"/>
              <w:right w:val="nil"/>
            </w:tcBorders>
            <w:shd w:val="clear" w:color="auto" w:fill="auto"/>
            <w:noWrap/>
            <w:vAlign w:val="center"/>
            <w:hideMark/>
          </w:tcPr>
          <w:p w14:paraId="1A72AE2A"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0.831</w:t>
            </w:r>
          </w:p>
        </w:tc>
        <w:tc>
          <w:tcPr>
            <w:tcW w:w="1004" w:type="pct"/>
            <w:tcBorders>
              <w:top w:val="nil"/>
              <w:left w:val="nil"/>
              <w:bottom w:val="single" w:sz="4" w:space="0" w:color="auto"/>
              <w:right w:val="nil"/>
            </w:tcBorders>
            <w:shd w:val="clear" w:color="auto" w:fill="auto"/>
            <w:noWrap/>
            <w:vAlign w:val="center"/>
            <w:hideMark/>
          </w:tcPr>
          <w:p w14:paraId="3C9031F6"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0.650</w:t>
            </w:r>
          </w:p>
        </w:tc>
      </w:tr>
      <w:tr w:rsidR="003B0628" w:rsidRPr="00A858D5" w14:paraId="55911ED0" w14:textId="77777777" w:rsidTr="001745CB">
        <w:trPr>
          <w:trHeight w:val="320"/>
        </w:trPr>
        <w:tc>
          <w:tcPr>
            <w:tcW w:w="1210" w:type="pct"/>
            <w:gridSpan w:val="2"/>
            <w:tcBorders>
              <w:top w:val="single" w:sz="4" w:space="0" w:color="auto"/>
              <w:left w:val="nil"/>
              <w:bottom w:val="single" w:sz="4" w:space="0" w:color="auto"/>
              <w:right w:val="nil"/>
            </w:tcBorders>
            <w:shd w:val="clear" w:color="auto" w:fill="auto"/>
            <w:noWrap/>
            <w:vAlign w:val="center"/>
            <w:hideMark/>
          </w:tcPr>
          <w:p w14:paraId="6E137287" w14:textId="77777777" w:rsidR="003B0628" w:rsidRPr="00A858D5" w:rsidRDefault="003B0628"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891" w:type="pct"/>
            <w:tcBorders>
              <w:top w:val="nil"/>
              <w:left w:val="nil"/>
              <w:bottom w:val="single" w:sz="4" w:space="0" w:color="auto"/>
              <w:right w:val="nil"/>
            </w:tcBorders>
            <w:shd w:val="clear" w:color="auto" w:fill="auto"/>
            <w:noWrap/>
            <w:vAlign w:val="center"/>
            <w:hideMark/>
          </w:tcPr>
          <w:p w14:paraId="7B1D8BC5" w14:textId="77777777" w:rsidR="003B0628" w:rsidRPr="00A858D5" w:rsidRDefault="003B0628" w:rsidP="001745CB">
            <w:pPr>
              <w:jc w:val="center"/>
              <w:rPr>
                <w:rFonts w:ascii="Calibri" w:hAnsi="Calibri"/>
                <w:color w:val="000000"/>
                <w:sz w:val="21"/>
                <w:szCs w:val="21"/>
                <w:lang w:val="en-GB"/>
              </w:rPr>
            </w:pPr>
          </w:p>
        </w:tc>
        <w:tc>
          <w:tcPr>
            <w:tcW w:w="1004" w:type="pct"/>
            <w:tcBorders>
              <w:top w:val="nil"/>
              <w:left w:val="nil"/>
              <w:bottom w:val="single" w:sz="4" w:space="0" w:color="auto"/>
              <w:right w:val="nil"/>
            </w:tcBorders>
            <w:shd w:val="clear" w:color="auto" w:fill="auto"/>
            <w:noWrap/>
            <w:vAlign w:val="center"/>
            <w:hideMark/>
          </w:tcPr>
          <w:p w14:paraId="3787F688" w14:textId="77777777" w:rsidR="003B0628" w:rsidRPr="00A858D5" w:rsidRDefault="003B0628" w:rsidP="001745CB">
            <w:pPr>
              <w:jc w:val="center"/>
              <w:rPr>
                <w:rFonts w:ascii="Calibri" w:hAnsi="Calibri"/>
                <w:color w:val="000000"/>
                <w:sz w:val="21"/>
                <w:szCs w:val="21"/>
                <w:lang w:val="en-GB"/>
              </w:rPr>
            </w:pPr>
          </w:p>
        </w:tc>
        <w:tc>
          <w:tcPr>
            <w:tcW w:w="891" w:type="pct"/>
            <w:tcBorders>
              <w:top w:val="nil"/>
              <w:left w:val="nil"/>
              <w:bottom w:val="single" w:sz="4" w:space="0" w:color="auto"/>
              <w:right w:val="nil"/>
            </w:tcBorders>
            <w:shd w:val="clear" w:color="auto" w:fill="auto"/>
            <w:noWrap/>
            <w:vAlign w:val="center"/>
            <w:hideMark/>
          </w:tcPr>
          <w:p w14:paraId="7609A3E2" w14:textId="77777777" w:rsidR="003B0628" w:rsidRPr="00A858D5" w:rsidRDefault="003B0628" w:rsidP="001745CB">
            <w:pPr>
              <w:jc w:val="center"/>
              <w:rPr>
                <w:rFonts w:ascii="Calibri" w:hAnsi="Calibri"/>
                <w:color w:val="000000"/>
                <w:sz w:val="21"/>
                <w:szCs w:val="21"/>
                <w:lang w:val="en-GB"/>
              </w:rPr>
            </w:pPr>
          </w:p>
        </w:tc>
        <w:tc>
          <w:tcPr>
            <w:tcW w:w="1004" w:type="pct"/>
            <w:tcBorders>
              <w:top w:val="nil"/>
              <w:left w:val="nil"/>
              <w:bottom w:val="single" w:sz="4" w:space="0" w:color="auto"/>
              <w:right w:val="nil"/>
            </w:tcBorders>
            <w:shd w:val="clear" w:color="auto" w:fill="auto"/>
            <w:noWrap/>
            <w:vAlign w:val="center"/>
            <w:hideMark/>
          </w:tcPr>
          <w:p w14:paraId="6AE10531" w14:textId="77777777" w:rsidR="003B0628" w:rsidRPr="00A858D5" w:rsidRDefault="003B0628" w:rsidP="001745CB">
            <w:pPr>
              <w:jc w:val="center"/>
              <w:rPr>
                <w:rFonts w:ascii="Calibri" w:hAnsi="Calibri"/>
                <w:color w:val="000000"/>
                <w:sz w:val="21"/>
                <w:szCs w:val="21"/>
                <w:lang w:val="en-GB"/>
              </w:rPr>
            </w:pPr>
          </w:p>
        </w:tc>
      </w:tr>
      <w:tr w:rsidR="003B0628" w:rsidRPr="00A858D5" w14:paraId="6EC0BC19" w14:textId="77777777" w:rsidTr="001745CB">
        <w:trPr>
          <w:trHeight w:val="320"/>
        </w:trPr>
        <w:tc>
          <w:tcPr>
            <w:tcW w:w="174" w:type="pct"/>
            <w:tcBorders>
              <w:top w:val="nil"/>
              <w:left w:val="nil"/>
              <w:bottom w:val="nil"/>
              <w:right w:val="nil"/>
            </w:tcBorders>
            <w:shd w:val="clear" w:color="auto" w:fill="auto"/>
            <w:noWrap/>
            <w:vAlign w:val="center"/>
            <w:hideMark/>
          </w:tcPr>
          <w:p w14:paraId="3B57EEB3"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376D1A66"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891" w:type="pct"/>
            <w:tcBorders>
              <w:top w:val="nil"/>
              <w:left w:val="nil"/>
              <w:bottom w:val="nil"/>
              <w:right w:val="nil"/>
            </w:tcBorders>
            <w:shd w:val="clear" w:color="auto" w:fill="auto"/>
            <w:noWrap/>
            <w:vAlign w:val="center"/>
            <w:hideMark/>
          </w:tcPr>
          <w:p w14:paraId="6F9A9EEE"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(0.90, </w:t>
            </w:r>
            <w:proofErr w:type="gramStart"/>
            <w:r w:rsidRPr="00A858D5">
              <w:rPr>
                <w:rFonts w:ascii="Calibri" w:hAnsi="Calibri"/>
                <w:color w:val="000000"/>
                <w:sz w:val="21"/>
                <w:szCs w:val="21"/>
                <w:lang w:val="en-GB"/>
              </w:rPr>
              <w:t>0.97)*</w:t>
            </w:r>
            <w:proofErr w:type="gramEnd"/>
          </w:p>
        </w:tc>
        <w:tc>
          <w:tcPr>
            <w:tcW w:w="1004" w:type="pct"/>
            <w:tcBorders>
              <w:top w:val="nil"/>
              <w:left w:val="nil"/>
              <w:bottom w:val="nil"/>
              <w:right w:val="nil"/>
            </w:tcBorders>
            <w:shd w:val="clear" w:color="auto" w:fill="auto"/>
            <w:noWrap/>
            <w:vAlign w:val="center"/>
            <w:hideMark/>
          </w:tcPr>
          <w:p w14:paraId="19D01589"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0.97 (0.94, 1.01)</w:t>
            </w:r>
          </w:p>
        </w:tc>
        <w:tc>
          <w:tcPr>
            <w:tcW w:w="891" w:type="pct"/>
            <w:tcBorders>
              <w:top w:val="nil"/>
              <w:left w:val="nil"/>
              <w:bottom w:val="nil"/>
              <w:right w:val="nil"/>
            </w:tcBorders>
            <w:shd w:val="clear" w:color="auto" w:fill="auto"/>
            <w:noWrap/>
            <w:vAlign w:val="center"/>
            <w:hideMark/>
          </w:tcPr>
          <w:p w14:paraId="5ED6F306"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0.92 (0.89, </w:t>
            </w:r>
            <w:proofErr w:type="gramStart"/>
            <w:r w:rsidRPr="00A858D5">
              <w:rPr>
                <w:rFonts w:ascii="Calibri" w:hAnsi="Calibri"/>
                <w:color w:val="000000"/>
                <w:sz w:val="21"/>
                <w:szCs w:val="21"/>
                <w:lang w:val="en-GB"/>
              </w:rPr>
              <w:t>0.96)*</w:t>
            </w:r>
            <w:proofErr w:type="gramEnd"/>
          </w:p>
        </w:tc>
        <w:tc>
          <w:tcPr>
            <w:tcW w:w="1004" w:type="pct"/>
            <w:tcBorders>
              <w:top w:val="nil"/>
              <w:left w:val="nil"/>
              <w:bottom w:val="nil"/>
              <w:right w:val="nil"/>
            </w:tcBorders>
            <w:shd w:val="clear" w:color="auto" w:fill="auto"/>
            <w:noWrap/>
            <w:vAlign w:val="center"/>
            <w:hideMark/>
          </w:tcPr>
          <w:p w14:paraId="7736073E"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(0.91, </w:t>
            </w:r>
            <w:proofErr w:type="gramStart"/>
            <w:r w:rsidRPr="00A858D5">
              <w:rPr>
                <w:rFonts w:ascii="Calibri" w:hAnsi="Calibri"/>
                <w:color w:val="000000"/>
                <w:sz w:val="21"/>
                <w:szCs w:val="21"/>
                <w:lang w:val="en-GB"/>
              </w:rPr>
              <w:t>0.98)*</w:t>
            </w:r>
            <w:proofErr w:type="gramEnd"/>
          </w:p>
        </w:tc>
      </w:tr>
      <w:tr w:rsidR="003B0628" w:rsidRPr="00A858D5" w14:paraId="1F2D4299" w14:textId="77777777" w:rsidTr="001745CB">
        <w:trPr>
          <w:trHeight w:val="320"/>
        </w:trPr>
        <w:tc>
          <w:tcPr>
            <w:tcW w:w="174" w:type="pct"/>
            <w:tcBorders>
              <w:top w:val="nil"/>
              <w:left w:val="nil"/>
              <w:bottom w:val="nil"/>
              <w:right w:val="nil"/>
            </w:tcBorders>
            <w:shd w:val="clear" w:color="auto" w:fill="auto"/>
            <w:noWrap/>
            <w:vAlign w:val="center"/>
            <w:hideMark/>
          </w:tcPr>
          <w:p w14:paraId="72FCFE8B"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6EBE1740"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891" w:type="pct"/>
            <w:tcBorders>
              <w:top w:val="nil"/>
              <w:left w:val="nil"/>
              <w:bottom w:val="nil"/>
              <w:right w:val="nil"/>
            </w:tcBorders>
            <w:shd w:val="clear" w:color="auto" w:fill="auto"/>
            <w:noWrap/>
            <w:vAlign w:val="center"/>
            <w:hideMark/>
          </w:tcPr>
          <w:p w14:paraId="0D8EDCBA"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(0.92, </w:t>
            </w:r>
            <w:proofErr w:type="gramStart"/>
            <w:r w:rsidRPr="00A858D5">
              <w:rPr>
                <w:rFonts w:ascii="Calibri" w:hAnsi="Calibri"/>
                <w:color w:val="000000"/>
                <w:sz w:val="21"/>
                <w:szCs w:val="21"/>
                <w:lang w:val="en-GB"/>
              </w:rPr>
              <w:t>0.98)*</w:t>
            </w:r>
            <w:proofErr w:type="gramEnd"/>
          </w:p>
        </w:tc>
        <w:tc>
          <w:tcPr>
            <w:tcW w:w="1004" w:type="pct"/>
            <w:tcBorders>
              <w:top w:val="nil"/>
              <w:left w:val="nil"/>
              <w:bottom w:val="nil"/>
              <w:right w:val="nil"/>
            </w:tcBorders>
            <w:shd w:val="clear" w:color="auto" w:fill="auto"/>
            <w:noWrap/>
            <w:vAlign w:val="center"/>
            <w:hideMark/>
          </w:tcPr>
          <w:p w14:paraId="3CB68364"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0.96 (0.93, </w:t>
            </w:r>
            <w:proofErr w:type="gramStart"/>
            <w:r w:rsidRPr="00A858D5">
              <w:rPr>
                <w:rFonts w:ascii="Calibri" w:hAnsi="Calibri"/>
                <w:color w:val="000000"/>
                <w:sz w:val="21"/>
                <w:szCs w:val="21"/>
                <w:lang w:val="en-GB"/>
              </w:rPr>
              <w:t>0.99)*</w:t>
            </w:r>
            <w:proofErr w:type="gramEnd"/>
          </w:p>
        </w:tc>
        <w:tc>
          <w:tcPr>
            <w:tcW w:w="891" w:type="pct"/>
            <w:tcBorders>
              <w:top w:val="nil"/>
              <w:left w:val="nil"/>
              <w:bottom w:val="nil"/>
              <w:right w:val="nil"/>
            </w:tcBorders>
            <w:shd w:val="clear" w:color="auto" w:fill="auto"/>
            <w:noWrap/>
            <w:vAlign w:val="center"/>
            <w:hideMark/>
          </w:tcPr>
          <w:p w14:paraId="40DB7988"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0.96 (0.92, </w:t>
            </w:r>
            <w:proofErr w:type="gramStart"/>
            <w:r w:rsidRPr="00A858D5">
              <w:rPr>
                <w:rFonts w:ascii="Calibri" w:hAnsi="Calibri"/>
                <w:color w:val="000000"/>
                <w:sz w:val="21"/>
                <w:szCs w:val="21"/>
                <w:lang w:val="en-GB"/>
              </w:rPr>
              <w:t>0.99)*</w:t>
            </w:r>
            <w:proofErr w:type="gramEnd"/>
          </w:p>
        </w:tc>
        <w:tc>
          <w:tcPr>
            <w:tcW w:w="1004" w:type="pct"/>
            <w:tcBorders>
              <w:top w:val="nil"/>
              <w:left w:val="nil"/>
              <w:bottom w:val="nil"/>
              <w:right w:val="nil"/>
            </w:tcBorders>
            <w:shd w:val="clear" w:color="auto" w:fill="auto"/>
            <w:noWrap/>
            <w:vAlign w:val="center"/>
            <w:hideMark/>
          </w:tcPr>
          <w:p w14:paraId="3ED226F4"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0.97 (0.94, 1.01)</w:t>
            </w:r>
          </w:p>
        </w:tc>
      </w:tr>
      <w:tr w:rsidR="003B0628" w:rsidRPr="00A858D5" w14:paraId="62D7F51D" w14:textId="77777777" w:rsidTr="001745CB">
        <w:trPr>
          <w:trHeight w:val="320"/>
        </w:trPr>
        <w:tc>
          <w:tcPr>
            <w:tcW w:w="174" w:type="pct"/>
            <w:tcBorders>
              <w:top w:val="nil"/>
              <w:left w:val="nil"/>
              <w:bottom w:val="nil"/>
              <w:right w:val="nil"/>
            </w:tcBorders>
            <w:shd w:val="clear" w:color="auto" w:fill="auto"/>
            <w:noWrap/>
            <w:vAlign w:val="center"/>
            <w:hideMark/>
          </w:tcPr>
          <w:p w14:paraId="2660A6E6"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64EF8BB0"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891" w:type="pct"/>
            <w:tcBorders>
              <w:top w:val="nil"/>
              <w:left w:val="nil"/>
              <w:bottom w:val="nil"/>
              <w:right w:val="nil"/>
            </w:tcBorders>
            <w:shd w:val="clear" w:color="auto" w:fill="auto"/>
            <w:noWrap/>
            <w:vAlign w:val="center"/>
            <w:hideMark/>
          </w:tcPr>
          <w:p w14:paraId="54CEB960"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(0.90, </w:t>
            </w:r>
            <w:proofErr w:type="gramStart"/>
            <w:r w:rsidRPr="00A858D5">
              <w:rPr>
                <w:rFonts w:ascii="Calibri" w:hAnsi="Calibri"/>
                <w:color w:val="000000"/>
                <w:sz w:val="21"/>
                <w:szCs w:val="21"/>
                <w:lang w:val="en-GB"/>
              </w:rPr>
              <w:t>0.95)*</w:t>
            </w:r>
            <w:proofErr w:type="gramEnd"/>
          </w:p>
        </w:tc>
        <w:tc>
          <w:tcPr>
            <w:tcW w:w="1004" w:type="pct"/>
            <w:tcBorders>
              <w:top w:val="nil"/>
              <w:left w:val="nil"/>
              <w:bottom w:val="nil"/>
              <w:right w:val="nil"/>
            </w:tcBorders>
            <w:shd w:val="clear" w:color="auto" w:fill="auto"/>
            <w:noWrap/>
            <w:vAlign w:val="center"/>
            <w:hideMark/>
          </w:tcPr>
          <w:p w14:paraId="19AA7AEF"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0.92 (0.89, </w:t>
            </w:r>
            <w:proofErr w:type="gramStart"/>
            <w:r w:rsidRPr="00A858D5">
              <w:rPr>
                <w:rFonts w:ascii="Calibri" w:hAnsi="Calibri"/>
                <w:color w:val="000000"/>
                <w:sz w:val="21"/>
                <w:szCs w:val="21"/>
                <w:lang w:val="en-GB"/>
              </w:rPr>
              <w:t>0.94)*</w:t>
            </w:r>
            <w:proofErr w:type="gramEnd"/>
          </w:p>
        </w:tc>
        <w:tc>
          <w:tcPr>
            <w:tcW w:w="891" w:type="pct"/>
            <w:tcBorders>
              <w:top w:val="nil"/>
              <w:left w:val="nil"/>
              <w:bottom w:val="nil"/>
              <w:right w:val="nil"/>
            </w:tcBorders>
            <w:shd w:val="clear" w:color="auto" w:fill="auto"/>
            <w:noWrap/>
            <w:vAlign w:val="center"/>
            <w:hideMark/>
          </w:tcPr>
          <w:p w14:paraId="3C3ADB3F"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0.94 (0.92, </w:t>
            </w:r>
            <w:proofErr w:type="gramStart"/>
            <w:r w:rsidRPr="00A858D5">
              <w:rPr>
                <w:rFonts w:ascii="Calibri" w:hAnsi="Calibri"/>
                <w:color w:val="000000"/>
                <w:sz w:val="21"/>
                <w:szCs w:val="21"/>
                <w:lang w:val="en-GB"/>
              </w:rPr>
              <w:t>0.95)*</w:t>
            </w:r>
            <w:proofErr w:type="gramEnd"/>
          </w:p>
        </w:tc>
        <w:tc>
          <w:tcPr>
            <w:tcW w:w="1004" w:type="pct"/>
            <w:tcBorders>
              <w:top w:val="nil"/>
              <w:left w:val="nil"/>
              <w:bottom w:val="nil"/>
              <w:right w:val="nil"/>
            </w:tcBorders>
            <w:shd w:val="clear" w:color="auto" w:fill="auto"/>
            <w:noWrap/>
            <w:vAlign w:val="center"/>
            <w:hideMark/>
          </w:tcPr>
          <w:p w14:paraId="38F9D11C"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0.94 (0.92, </w:t>
            </w:r>
            <w:proofErr w:type="gramStart"/>
            <w:r w:rsidRPr="00A858D5">
              <w:rPr>
                <w:rFonts w:ascii="Calibri" w:hAnsi="Calibri"/>
                <w:color w:val="000000"/>
                <w:sz w:val="21"/>
                <w:szCs w:val="21"/>
                <w:lang w:val="en-GB"/>
              </w:rPr>
              <w:t>0.96)*</w:t>
            </w:r>
            <w:proofErr w:type="gramEnd"/>
          </w:p>
        </w:tc>
      </w:tr>
      <w:tr w:rsidR="003B0628" w:rsidRPr="00A858D5" w14:paraId="58D067A6" w14:textId="77777777" w:rsidTr="001745CB">
        <w:trPr>
          <w:trHeight w:val="320"/>
        </w:trPr>
        <w:tc>
          <w:tcPr>
            <w:tcW w:w="174" w:type="pct"/>
            <w:tcBorders>
              <w:top w:val="nil"/>
              <w:left w:val="nil"/>
              <w:bottom w:val="single" w:sz="4" w:space="0" w:color="auto"/>
              <w:right w:val="nil"/>
            </w:tcBorders>
            <w:shd w:val="clear" w:color="auto" w:fill="auto"/>
            <w:noWrap/>
            <w:vAlign w:val="center"/>
            <w:hideMark/>
          </w:tcPr>
          <w:p w14:paraId="11E3407D"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037" w:type="pct"/>
            <w:tcBorders>
              <w:top w:val="nil"/>
              <w:left w:val="nil"/>
              <w:bottom w:val="single" w:sz="4" w:space="0" w:color="auto"/>
              <w:right w:val="nil"/>
            </w:tcBorders>
            <w:shd w:val="clear" w:color="auto" w:fill="auto"/>
            <w:noWrap/>
            <w:vAlign w:val="center"/>
            <w:hideMark/>
          </w:tcPr>
          <w:p w14:paraId="562DC4EA" w14:textId="77777777" w:rsidR="003B0628" w:rsidRPr="00A858D5" w:rsidRDefault="003B0628" w:rsidP="001745CB">
            <w:pPr>
              <w:rPr>
                <w:rFonts w:ascii="Calibri" w:hAnsi="Calibri"/>
                <w:i/>
                <w:iCs/>
                <w:color w:val="000000"/>
                <w:sz w:val="21"/>
                <w:szCs w:val="21"/>
                <w:lang w:val="en-GB"/>
              </w:rPr>
            </w:pPr>
            <w:r w:rsidRPr="00A858D5">
              <w:rPr>
                <w:rFonts w:ascii="Calibri" w:hAnsi="Calibri"/>
                <w:i/>
                <w:iCs/>
                <w:color w:val="000000"/>
                <w:sz w:val="21"/>
                <w:szCs w:val="21"/>
                <w:lang w:val="en-GB"/>
              </w:rPr>
              <w:t xml:space="preserve">p-value for interaction </w:t>
            </w:r>
            <w:r w:rsidRPr="00A858D5">
              <w:rPr>
                <w:rFonts w:ascii="Calibri" w:hAnsi="Calibri" w:cs="Calibri"/>
                <w:i/>
                <w:iCs/>
                <w:color w:val="000000"/>
                <w:sz w:val="21"/>
                <w:szCs w:val="21"/>
                <w:vertAlign w:val="superscript"/>
                <w:lang w:val="en-GB"/>
              </w:rPr>
              <w:t>a</w:t>
            </w:r>
          </w:p>
        </w:tc>
        <w:tc>
          <w:tcPr>
            <w:tcW w:w="891" w:type="pct"/>
            <w:tcBorders>
              <w:top w:val="nil"/>
              <w:left w:val="nil"/>
              <w:bottom w:val="single" w:sz="4" w:space="0" w:color="auto"/>
              <w:right w:val="nil"/>
            </w:tcBorders>
            <w:shd w:val="clear" w:color="auto" w:fill="auto"/>
            <w:noWrap/>
            <w:vAlign w:val="center"/>
            <w:hideMark/>
          </w:tcPr>
          <w:p w14:paraId="34E8261E"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&lt;0.001</w:t>
            </w:r>
          </w:p>
        </w:tc>
        <w:tc>
          <w:tcPr>
            <w:tcW w:w="1004" w:type="pct"/>
            <w:tcBorders>
              <w:top w:val="nil"/>
              <w:left w:val="nil"/>
              <w:bottom w:val="single" w:sz="4" w:space="0" w:color="auto"/>
              <w:right w:val="nil"/>
            </w:tcBorders>
            <w:shd w:val="clear" w:color="auto" w:fill="auto"/>
            <w:noWrap/>
            <w:vAlign w:val="center"/>
            <w:hideMark/>
          </w:tcPr>
          <w:p w14:paraId="490B0FF6"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&lt;0.001</w:t>
            </w:r>
          </w:p>
        </w:tc>
        <w:tc>
          <w:tcPr>
            <w:tcW w:w="891" w:type="pct"/>
            <w:tcBorders>
              <w:top w:val="nil"/>
              <w:left w:val="nil"/>
              <w:bottom w:val="single" w:sz="4" w:space="0" w:color="auto"/>
              <w:right w:val="nil"/>
            </w:tcBorders>
            <w:shd w:val="clear" w:color="auto" w:fill="auto"/>
            <w:noWrap/>
            <w:vAlign w:val="center"/>
            <w:hideMark/>
          </w:tcPr>
          <w:p w14:paraId="487019A6"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0.720</w:t>
            </w:r>
          </w:p>
        </w:tc>
        <w:tc>
          <w:tcPr>
            <w:tcW w:w="1004" w:type="pct"/>
            <w:tcBorders>
              <w:top w:val="nil"/>
              <w:left w:val="nil"/>
              <w:bottom w:val="single" w:sz="4" w:space="0" w:color="auto"/>
              <w:right w:val="nil"/>
            </w:tcBorders>
            <w:shd w:val="clear" w:color="auto" w:fill="auto"/>
            <w:noWrap/>
            <w:vAlign w:val="center"/>
            <w:hideMark/>
          </w:tcPr>
          <w:p w14:paraId="0F94C183"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0.914</w:t>
            </w:r>
          </w:p>
        </w:tc>
      </w:tr>
      <w:tr w:rsidR="003B0628" w:rsidRPr="00A858D5" w14:paraId="2F6CA670" w14:textId="77777777" w:rsidTr="001745CB">
        <w:trPr>
          <w:trHeight w:val="320"/>
        </w:trPr>
        <w:tc>
          <w:tcPr>
            <w:tcW w:w="1210" w:type="pct"/>
            <w:gridSpan w:val="2"/>
            <w:tcBorders>
              <w:top w:val="single" w:sz="4" w:space="0" w:color="auto"/>
              <w:left w:val="nil"/>
              <w:bottom w:val="single" w:sz="4" w:space="0" w:color="auto"/>
              <w:right w:val="nil"/>
            </w:tcBorders>
            <w:shd w:val="clear" w:color="auto" w:fill="auto"/>
            <w:noWrap/>
            <w:vAlign w:val="center"/>
            <w:hideMark/>
          </w:tcPr>
          <w:p w14:paraId="4E2539D3" w14:textId="77777777" w:rsidR="003B0628" w:rsidRPr="00A858D5" w:rsidRDefault="003B0628" w:rsidP="001745CB">
            <w:pPr>
              <w:rPr>
                <w:rFonts w:ascii="Calibri" w:hAnsi="Calibri"/>
                <w:b/>
                <w:bCs/>
                <w:color w:val="000000"/>
                <w:sz w:val="21"/>
                <w:szCs w:val="21"/>
                <w:lang w:val="en-GB"/>
              </w:rPr>
            </w:pPr>
            <w:r w:rsidRPr="00A858D5">
              <w:rPr>
                <w:rFonts w:ascii="Calibri" w:hAnsi="Calibri"/>
                <w:b/>
                <w:bCs/>
                <w:color w:val="000000"/>
                <w:sz w:val="21"/>
                <w:szCs w:val="21"/>
                <w:lang w:val="en-GB"/>
              </w:rPr>
              <w:t>Migrant background</w:t>
            </w:r>
          </w:p>
        </w:tc>
        <w:tc>
          <w:tcPr>
            <w:tcW w:w="891" w:type="pct"/>
            <w:tcBorders>
              <w:top w:val="nil"/>
              <w:left w:val="nil"/>
              <w:bottom w:val="single" w:sz="4" w:space="0" w:color="auto"/>
              <w:right w:val="nil"/>
            </w:tcBorders>
            <w:shd w:val="clear" w:color="auto" w:fill="auto"/>
            <w:noWrap/>
            <w:vAlign w:val="center"/>
            <w:hideMark/>
          </w:tcPr>
          <w:p w14:paraId="05282A6C" w14:textId="77777777" w:rsidR="003B0628" w:rsidRPr="00A858D5" w:rsidRDefault="003B0628" w:rsidP="001745CB">
            <w:pPr>
              <w:jc w:val="center"/>
              <w:rPr>
                <w:rFonts w:ascii="Calibri" w:hAnsi="Calibri"/>
                <w:color w:val="000000"/>
                <w:sz w:val="21"/>
                <w:szCs w:val="21"/>
                <w:lang w:val="en-GB"/>
              </w:rPr>
            </w:pPr>
          </w:p>
        </w:tc>
        <w:tc>
          <w:tcPr>
            <w:tcW w:w="1004" w:type="pct"/>
            <w:tcBorders>
              <w:top w:val="nil"/>
              <w:left w:val="nil"/>
              <w:bottom w:val="single" w:sz="4" w:space="0" w:color="auto"/>
              <w:right w:val="nil"/>
            </w:tcBorders>
            <w:shd w:val="clear" w:color="auto" w:fill="auto"/>
            <w:noWrap/>
            <w:vAlign w:val="center"/>
            <w:hideMark/>
          </w:tcPr>
          <w:p w14:paraId="70F031BF" w14:textId="77777777" w:rsidR="003B0628" w:rsidRPr="00A858D5" w:rsidRDefault="003B0628" w:rsidP="001745CB">
            <w:pPr>
              <w:jc w:val="center"/>
              <w:rPr>
                <w:rFonts w:ascii="Calibri" w:hAnsi="Calibri"/>
                <w:color w:val="000000"/>
                <w:sz w:val="21"/>
                <w:szCs w:val="21"/>
                <w:lang w:val="en-GB"/>
              </w:rPr>
            </w:pPr>
          </w:p>
        </w:tc>
        <w:tc>
          <w:tcPr>
            <w:tcW w:w="891" w:type="pct"/>
            <w:tcBorders>
              <w:top w:val="nil"/>
              <w:left w:val="nil"/>
              <w:bottom w:val="single" w:sz="4" w:space="0" w:color="auto"/>
              <w:right w:val="nil"/>
            </w:tcBorders>
            <w:shd w:val="clear" w:color="auto" w:fill="auto"/>
            <w:noWrap/>
            <w:vAlign w:val="center"/>
            <w:hideMark/>
          </w:tcPr>
          <w:p w14:paraId="49B15549" w14:textId="77777777" w:rsidR="003B0628" w:rsidRPr="00A858D5" w:rsidRDefault="003B0628" w:rsidP="001745CB">
            <w:pPr>
              <w:jc w:val="center"/>
              <w:rPr>
                <w:rFonts w:ascii="Calibri" w:hAnsi="Calibri"/>
                <w:color w:val="000000"/>
                <w:sz w:val="21"/>
                <w:szCs w:val="21"/>
                <w:lang w:val="en-GB"/>
              </w:rPr>
            </w:pPr>
          </w:p>
        </w:tc>
        <w:tc>
          <w:tcPr>
            <w:tcW w:w="1004" w:type="pct"/>
            <w:tcBorders>
              <w:top w:val="nil"/>
              <w:left w:val="nil"/>
              <w:bottom w:val="single" w:sz="4" w:space="0" w:color="auto"/>
              <w:right w:val="nil"/>
            </w:tcBorders>
            <w:shd w:val="clear" w:color="auto" w:fill="auto"/>
            <w:noWrap/>
            <w:vAlign w:val="center"/>
            <w:hideMark/>
          </w:tcPr>
          <w:p w14:paraId="3321B6C0" w14:textId="77777777" w:rsidR="003B0628" w:rsidRPr="00A858D5" w:rsidRDefault="003B0628" w:rsidP="001745CB">
            <w:pPr>
              <w:jc w:val="center"/>
              <w:rPr>
                <w:rFonts w:ascii="Calibri" w:hAnsi="Calibri"/>
                <w:color w:val="000000"/>
                <w:sz w:val="21"/>
                <w:szCs w:val="21"/>
                <w:lang w:val="en-GB"/>
              </w:rPr>
            </w:pPr>
          </w:p>
        </w:tc>
      </w:tr>
      <w:tr w:rsidR="003B0628" w:rsidRPr="00A858D5" w14:paraId="2CF19A8E" w14:textId="77777777" w:rsidTr="001745CB">
        <w:trPr>
          <w:trHeight w:val="320"/>
        </w:trPr>
        <w:tc>
          <w:tcPr>
            <w:tcW w:w="174" w:type="pct"/>
            <w:tcBorders>
              <w:top w:val="nil"/>
              <w:left w:val="nil"/>
              <w:bottom w:val="nil"/>
              <w:right w:val="nil"/>
            </w:tcBorders>
            <w:shd w:val="clear" w:color="auto" w:fill="auto"/>
            <w:noWrap/>
            <w:vAlign w:val="center"/>
            <w:hideMark/>
          </w:tcPr>
          <w:p w14:paraId="7639E37C"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25D91338"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Belgian</w:t>
            </w:r>
          </w:p>
        </w:tc>
        <w:tc>
          <w:tcPr>
            <w:tcW w:w="891" w:type="pct"/>
            <w:tcBorders>
              <w:top w:val="nil"/>
              <w:left w:val="nil"/>
              <w:bottom w:val="nil"/>
              <w:right w:val="nil"/>
            </w:tcBorders>
            <w:shd w:val="clear" w:color="auto" w:fill="auto"/>
            <w:noWrap/>
            <w:vAlign w:val="center"/>
            <w:hideMark/>
          </w:tcPr>
          <w:p w14:paraId="13C318E6"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0.94 (0.92, </w:t>
            </w:r>
            <w:proofErr w:type="gramStart"/>
            <w:r w:rsidRPr="00A858D5">
              <w:rPr>
                <w:rFonts w:ascii="Calibri" w:hAnsi="Calibri"/>
                <w:color w:val="000000"/>
                <w:sz w:val="21"/>
                <w:szCs w:val="21"/>
                <w:lang w:val="en-GB"/>
              </w:rPr>
              <w:t>0.96)*</w:t>
            </w:r>
            <w:proofErr w:type="gramEnd"/>
          </w:p>
        </w:tc>
        <w:tc>
          <w:tcPr>
            <w:tcW w:w="1004" w:type="pct"/>
            <w:tcBorders>
              <w:top w:val="nil"/>
              <w:left w:val="nil"/>
              <w:bottom w:val="nil"/>
              <w:right w:val="nil"/>
            </w:tcBorders>
            <w:shd w:val="clear" w:color="auto" w:fill="auto"/>
            <w:noWrap/>
            <w:vAlign w:val="center"/>
            <w:hideMark/>
          </w:tcPr>
          <w:p w14:paraId="3E9EE2F5"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(0.93, </w:t>
            </w:r>
            <w:proofErr w:type="gramStart"/>
            <w:r w:rsidRPr="00A858D5">
              <w:rPr>
                <w:rFonts w:ascii="Calibri" w:hAnsi="Calibri"/>
                <w:color w:val="000000"/>
                <w:sz w:val="21"/>
                <w:szCs w:val="21"/>
                <w:lang w:val="en-GB"/>
              </w:rPr>
              <w:t>0.97)*</w:t>
            </w:r>
            <w:proofErr w:type="gramEnd"/>
          </w:p>
        </w:tc>
        <w:tc>
          <w:tcPr>
            <w:tcW w:w="891" w:type="pct"/>
            <w:tcBorders>
              <w:top w:val="nil"/>
              <w:left w:val="nil"/>
              <w:bottom w:val="nil"/>
              <w:right w:val="nil"/>
            </w:tcBorders>
            <w:shd w:val="clear" w:color="auto" w:fill="auto"/>
            <w:noWrap/>
            <w:vAlign w:val="center"/>
            <w:hideMark/>
          </w:tcPr>
          <w:p w14:paraId="70759BB4"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0.94 (0.92, </w:t>
            </w:r>
            <w:proofErr w:type="gramStart"/>
            <w:r w:rsidRPr="00A858D5">
              <w:rPr>
                <w:rFonts w:ascii="Calibri" w:hAnsi="Calibri"/>
                <w:color w:val="000000"/>
                <w:sz w:val="21"/>
                <w:szCs w:val="21"/>
                <w:lang w:val="en-GB"/>
              </w:rPr>
              <w:t>0.95)*</w:t>
            </w:r>
            <w:proofErr w:type="gramEnd"/>
          </w:p>
        </w:tc>
        <w:tc>
          <w:tcPr>
            <w:tcW w:w="1004" w:type="pct"/>
            <w:tcBorders>
              <w:top w:val="nil"/>
              <w:left w:val="nil"/>
              <w:bottom w:val="nil"/>
              <w:right w:val="nil"/>
            </w:tcBorders>
            <w:shd w:val="clear" w:color="auto" w:fill="auto"/>
            <w:noWrap/>
            <w:vAlign w:val="center"/>
            <w:hideMark/>
          </w:tcPr>
          <w:p w14:paraId="6AE34C43"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(0.93, </w:t>
            </w:r>
            <w:proofErr w:type="gramStart"/>
            <w:r w:rsidRPr="00A858D5">
              <w:rPr>
                <w:rFonts w:ascii="Calibri" w:hAnsi="Calibri"/>
                <w:color w:val="000000"/>
                <w:sz w:val="21"/>
                <w:szCs w:val="21"/>
                <w:lang w:val="en-GB"/>
              </w:rPr>
              <w:t>0.96)*</w:t>
            </w:r>
            <w:proofErr w:type="gramEnd"/>
          </w:p>
        </w:tc>
      </w:tr>
      <w:tr w:rsidR="003B0628" w:rsidRPr="00A858D5" w14:paraId="35F06844" w14:textId="77777777" w:rsidTr="001745CB">
        <w:trPr>
          <w:trHeight w:val="320"/>
        </w:trPr>
        <w:tc>
          <w:tcPr>
            <w:tcW w:w="174" w:type="pct"/>
            <w:tcBorders>
              <w:top w:val="nil"/>
              <w:left w:val="nil"/>
              <w:bottom w:val="nil"/>
              <w:right w:val="nil"/>
            </w:tcBorders>
            <w:shd w:val="clear" w:color="auto" w:fill="auto"/>
            <w:noWrap/>
            <w:vAlign w:val="center"/>
            <w:hideMark/>
          </w:tcPr>
          <w:p w14:paraId="4BC308EF"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143AA061"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Other HIC</w:t>
            </w:r>
          </w:p>
        </w:tc>
        <w:tc>
          <w:tcPr>
            <w:tcW w:w="891" w:type="pct"/>
            <w:tcBorders>
              <w:top w:val="nil"/>
              <w:left w:val="nil"/>
              <w:bottom w:val="nil"/>
              <w:right w:val="nil"/>
            </w:tcBorders>
            <w:shd w:val="clear" w:color="auto" w:fill="auto"/>
            <w:noWrap/>
            <w:vAlign w:val="center"/>
            <w:hideMark/>
          </w:tcPr>
          <w:p w14:paraId="28275DC4"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0.90 (0.87, </w:t>
            </w:r>
            <w:proofErr w:type="gramStart"/>
            <w:r w:rsidRPr="00A858D5">
              <w:rPr>
                <w:rFonts w:ascii="Calibri" w:hAnsi="Calibri"/>
                <w:color w:val="000000"/>
                <w:sz w:val="21"/>
                <w:szCs w:val="21"/>
                <w:lang w:val="en-GB"/>
              </w:rPr>
              <w:t>0.94)*</w:t>
            </w:r>
            <w:proofErr w:type="gramEnd"/>
          </w:p>
        </w:tc>
        <w:tc>
          <w:tcPr>
            <w:tcW w:w="1004" w:type="pct"/>
            <w:tcBorders>
              <w:top w:val="nil"/>
              <w:left w:val="nil"/>
              <w:bottom w:val="nil"/>
              <w:right w:val="nil"/>
            </w:tcBorders>
            <w:shd w:val="clear" w:color="auto" w:fill="auto"/>
            <w:noWrap/>
            <w:vAlign w:val="center"/>
            <w:hideMark/>
          </w:tcPr>
          <w:p w14:paraId="0944E858"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0.92 (0.88, </w:t>
            </w:r>
            <w:proofErr w:type="gramStart"/>
            <w:r w:rsidRPr="00A858D5">
              <w:rPr>
                <w:rFonts w:ascii="Calibri" w:hAnsi="Calibri"/>
                <w:color w:val="000000"/>
                <w:sz w:val="21"/>
                <w:szCs w:val="21"/>
                <w:lang w:val="en-GB"/>
              </w:rPr>
              <w:t>0.96)*</w:t>
            </w:r>
            <w:proofErr w:type="gramEnd"/>
          </w:p>
        </w:tc>
        <w:tc>
          <w:tcPr>
            <w:tcW w:w="891" w:type="pct"/>
            <w:tcBorders>
              <w:top w:val="nil"/>
              <w:left w:val="nil"/>
              <w:bottom w:val="nil"/>
              <w:right w:val="nil"/>
            </w:tcBorders>
            <w:shd w:val="clear" w:color="auto" w:fill="auto"/>
            <w:noWrap/>
            <w:vAlign w:val="center"/>
            <w:hideMark/>
          </w:tcPr>
          <w:p w14:paraId="33923E07"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0.91 (0.87, </w:t>
            </w:r>
            <w:proofErr w:type="gramStart"/>
            <w:r w:rsidRPr="00A858D5">
              <w:rPr>
                <w:rFonts w:ascii="Calibri" w:hAnsi="Calibri"/>
                <w:color w:val="000000"/>
                <w:sz w:val="21"/>
                <w:szCs w:val="21"/>
                <w:lang w:val="en-GB"/>
              </w:rPr>
              <w:t>0.95)*</w:t>
            </w:r>
            <w:proofErr w:type="gramEnd"/>
          </w:p>
        </w:tc>
        <w:tc>
          <w:tcPr>
            <w:tcW w:w="1004" w:type="pct"/>
            <w:tcBorders>
              <w:top w:val="nil"/>
              <w:left w:val="nil"/>
              <w:bottom w:val="nil"/>
              <w:right w:val="nil"/>
            </w:tcBorders>
            <w:shd w:val="clear" w:color="auto" w:fill="auto"/>
            <w:noWrap/>
            <w:vAlign w:val="center"/>
            <w:hideMark/>
          </w:tcPr>
          <w:p w14:paraId="0C626604"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0.94 (0.90, </w:t>
            </w:r>
            <w:proofErr w:type="gramStart"/>
            <w:r w:rsidRPr="00A858D5">
              <w:rPr>
                <w:rFonts w:ascii="Calibri" w:hAnsi="Calibri"/>
                <w:color w:val="000000"/>
                <w:sz w:val="21"/>
                <w:szCs w:val="21"/>
                <w:lang w:val="en-GB"/>
              </w:rPr>
              <w:t>0.99)*</w:t>
            </w:r>
            <w:proofErr w:type="gramEnd"/>
          </w:p>
        </w:tc>
      </w:tr>
      <w:tr w:rsidR="003B0628" w:rsidRPr="00A858D5" w14:paraId="389D513E" w14:textId="77777777" w:rsidTr="001745CB">
        <w:trPr>
          <w:trHeight w:val="320"/>
        </w:trPr>
        <w:tc>
          <w:tcPr>
            <w:tcW w:w="174" w:type="pct"/>
            <w:tcBorders>
              <w:top w:val="nil"/>
              <w:left w:val="nil"/>
              <w:bottom w:val="nil"/>
              <w:right w:val="nil"/>
            </w:tcBorders>
            <w:shd w:val="clear" w:color="auto" w:fill="auto"/>
            <w:noWrap/>
            <w:vAlign w:val="center"/>
            <w:hideMark/>
          </w:tcPr>
          <w:p w14:paraId="62DCD71C"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4D354847"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LMIC</w:t>
            </w:r>
          </w:p>
        </w:tc>
        <w:tc>
          <w:tcPr>
            <w:tcW w:w="891" w:type="pct"/>
            <w:tcBorders>
              <w:top w:val="nil"/>
              <w:left w:val="nil"/>
              <w:bottom w:val="nil"/>
              <w:right w:val="nil"/>
            </w:tcBorders>
            <w:shd w:val="clear" w:color="auto" w:fill="auto"/>
            <w:noWrap/>
            <w:vAlign w:val="center"/>
            <w:hideMark/>
          </w:tcPr>
          <w:p w14:paraId="1022B658"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(0.89, </w:t>
            </w:r>
            <w:proofErr w:type="gramStart"/>
            <w:r w:rsidRPr="00A858D5">
              <w:rPr>
                <w:rFonts w:ascii="Calibri" w:hAnsi="Calibri"/>
                <w:color w:val="000000"/>
                <w:sz w:val="21"/>
                <w:szCs w:val="21"/>
                <w:lang w:val="en-GB"/>
              </w:rPr>
              <w:t>0.96)*</w:t>
            </w:r>
            <w:proofErr w:type="gramEnd"/>
          </w:p>
        </w:tc>
        <w:tc>
          <w:tcPr>
            <w:tcW w:w="1004" w:type="pct"/>
            <w:tcBorders>
              <w:top w:val="nil"/>
              <w:left w:val="nil"/>
              <w:bottom w:val="nil"/>
              <w:right w:val="nil"/>
            </w:tcBorders>
            <w:shd w:val="clear" w:color="auto" w:fill="auto"/>
            <w:noWrap/>
            <w:vAlign w:val="center"/>
            <w:hideMark/>
          </w:tcPr>
          <w:p w14:paraId="1EBA0CB0"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(0.89, </w:t>
            </w:r>
            <w:proofErr w:type="gramStart"/>
            <w:r w:rsidRPr="00A858D5">
              <w:rPr>
                <w:rFonts w:ascii="Calibri" w:hAnsi="Calibri"/>
                <w:color w:val="000000"/>
                <w:sz w:val="21"/>
                <w:szCs w:val="21"/>
                <w:lang w:val="en-GB"/>
              </w:rPr>
              <w:t>0.98)*</w:t>
            </w:r>
            <w:proofErr w:type="gramEnd"/>
          </w:p>
        </w:tc>
        <w:tc>
          <w:tcPr>
            <w:tcW w:w="891" w:type="pct"/>
            <w:tcBorders>
              <w:top w:val="nil"/>
              <w:left w:val="nil"/>
              <w:bottom w:val="nil"/>
              <w:right w:val="nil"/>
            </w:tcBorders>
            <w:shd w:val="clear" w:color="auto" w:fill="auto"/>
            <w:noWrap/>
            <w:vAlign w:val="center"/>
            <w:hideMark/>
          </w:tcPr>
          <w:p w14:paraId="628570AF"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(0.90, </w:t>
            </w:r>
            <w:proofErr w:type="gramStart"/>
            <w:r w:rsidRPr="00A858D5">
              <w:rPr>
                <w:rFonts w:ascii="Calibri" w:hAnsi="Calibri"/>
                <w:color w:val="000000"/>
                <w:sz w:val="21"/>
                <w:szCs w:val="21"/>
                <w:lang w:val="en-GB"/>
              </w:rPr>
              <w:t>1.00)*</w:t>
            </w:r>
            <w:proofErr w:type="gramEnd"/>
          </w:p>
        </w:tc>
        <w:tc>
          <w:tcPr>
            <w:tcW w:w="1004" w:type="pct"/>
            <w:tcBorders>
              <w:top w:val="nil"/>
              <w:left w:val="nil"/>
              <w:bottom w:val="nil"/>
              <w:right w:val="nil"/>
            </w:tcBorders>
            <w:shd w:val="clear" w:color="auto" w:fill="auto"/>
            <w:noWrap/>
            <w:vAlign w:val="center"/>
            <w:hideMark/>
          </w:tcPr>
          <w:p w14:paraId="3440E4FB" w14:textId="77777777" w:rsidR="003B0628" w:rsidRPr="00A858D5" w:rsidRDefault="003B0628" w:rsidP="001745CB">
            <w:pPr>
              <w:jc w:val="center"/>
              <w:rPr>
                <w:rFonts w:ascii="Calibri" w:hAnsi="Calibri"/>
                <w:color w:val="000000"/>
                <w:sz w:val="21"/>
                <w:szCs w:val="21"/>
                <w:lang w:val="en-GB"/>
              </w:rPr>
            </w:pPr>
            <w:r w:rsidRPr="00A858D5">
              <w:rPr>
                <w:rFonts w:ascii="Calibri" w:hAnsi="Calibri"/>
                <w:color w:val="000000"/>
                <w:sz w:val="21"/>
                <w:szCs w:val="21"/>
                <w:lang w:val="en-GB"/>
              </w:rPr>
              <w:t>0.97 (0.92, 1.03)</w:t>
            </w:r>
          </w:p>
        </w:tc>
      </w:tr>
      <w:tr w:rsidR="003B0628" w:rsidRPr="00A858D5" w14:paraId="58133F84" w14:textId="77777777" w:rsidTr="001745CB">
        <w:trPr>
          <w:trHeight w:val="320"/>
        </w:trPr>
        <w:tc>
          <w:tcPr>
            <w:tcW w:w="174" w:type="pct"/>
            <w:tcBorders>
              <w:top w:val="nil"/>
              <w:left w:val="nil"/>
              <w:bottom w:val="nil"/>
              <w:right w:val="nil"/>
            </w:tcBorders>
            <w:shd w:val="clear" w:color="auto" w:fill="auto"/>
            <w:noWrap/>
            <w:vAlign w:val="center"/>
            <w:hideMark/>
          </w:tcPr>
          <w:p w14:paraId="06428C1F" w14:textId="77777777" w:rsidR="003B0628" w:rsidRPr="00A858D5" w:rsidRDefault="003B0628" w:rsidP="001745CB">
            <w:pPr>
              <w:rPr>
                <w:rFonts w:ascii="Calibri" w:hAnsi="Calibri"/>
                <w:color w:val="000000"/>
                <w:sz w:val="21"/>
                <w:szCs w:val="21"/>
                <w:lang w:val="en-GB"/>
              </w:rPr>
            </w:pPr>
          </w:p>
        </w:tc>
        <w:tc>
          <w:tcPr>
            <w:tcW w:w="1037" w:type="pct"/>
            <w:tcBorders>
              <w:top w:val="nil"/>
              <w:left w:val="nil"/>
              <w:bottom w:val="nil"/>
              <w:right w:val="nil"/>
            </w:tcBorders>
            <w:shd w:val="clear" w:color="auto" w:fill="auto"/>
            <w:noWrap/>
            <w:vAlign w:val="center"/>
            <w:hideMark/>
          </w:tcPr>
          <w:p w14:paraId="42063783" w14:textId="77777777" w:rsidR="003B0628" w:rsidRPr="00A858D5" w:rsidRDefault="003B0628" w:rsidP="001745CB">
            <w:pPr>
              <w:rPr>
                <w:rFonts w:ascii="Calibri" w:hAnsi="Calibri"/>
                <w:i/>
                <w:iCs/>
                <w:color w:val="000000"/>
                <w:sz w:val="21"/>
                <w:szCs w:val="21"/>
                <w:lang w:val="en-GB"/>
              </w:rPr>
            </w:pPr>
            <w:r w:rsidRPr="00A858D5">
              <w:rPr>
                <w:rFonts w:ascii="Calibri" w:hAnsi="Calibri"/>
                <w:i/>
                <w:iCs/>
                <w:color w:val="000000"/>
                <w:sz w:val="21"/>
                <w:szCs w:val="21"/>
                <w:lang w:val="en-GB"/>
              </w:rPr>
              <w:t xml:space="preserve">p-value for interaction </w:t>
            </w:r>
            <w:r w:rsidRPr="00A858D5">
              <w:rPr>
                <w:rFonts w:ascii="Calibri" w:hAnsi="Calibri" w:cs="Calibri"/>
                <w:i/>
                <w:iCs/>
                <w:color w:val="000000"/>
                <w:sz w:val="21"/>
                <w:szCs w:val="21"/>
                <w:vertAlign w:val="superscript"/>
                <w:lang w:val="en-GB"/>
              </w:rPr>
              <w:t>a</w:t>
            </w:r>
          </w:p>
        </w:tc>
        <w:tc>
          <w:tcPr>
            <w:tcW w:w="891" w:type="pct"/>
            <w:tcBorders>
              <w:top w:val="nil"/>
              <w:left w:val="nil"/>
              <w:bottom w:val="single" w:sz="4" w:space="0" w:color="auto"/>
              <w:right w:val="nil"/>
            </w:tcBorders>
            <w:shd w:val="clear" w:color="auto" w:fill="auto"/>
            <w:noWrap/>
            <w:vAlign w:val="center"/>
            <w:hideMark/>
          </w:tcPr>
          <w:p w14:paraId="038C638D"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&lt;0.001</w:t>
            </w:r>
          </w:p>
        </w:tc>
        <w:tc>
          <w:tcPr>
            <w:tcW w:w="1004" w:type="pct"/>
            <w:tcBorders>
              <w:top w:val="nil"/>
              <w:left w:val="nil"/>
              <w:bottom w:val="single" w:sz="4" w:space="0" w:color="auto"/>
              <w:right w:val="nil"/>
            </w:tcBorders>
            <w:shd w:val="clear" w:color="auto" w:fill="auto"/>
            <w:noWrap/>
            <w:vAlign w:val="center"/>
            <w:hideMark/>
          </w:tcPr>
          <w:p w14:paraId="3BD3CC39"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&lt;0.001</w:t>
            </w:r>
          </w:p>
        </w:tc>
        <w:tc>
          <w:tcPr>
            <w:tcW w:w="891" w:type="pct"/>
            <w:tcBorders>
              <w:top w:val="nil"/>
              <w:left w:val="nil"/>
              <w:bottom w:val="single" w:sz="4" w:space="0" w:color="auto"/>
              <w:right w:val="nil"/>
            </w:tcBorders>
            <w:shd w:val="clear" w:color="auto" w:fill="auto"/>
            <w:noWrap/>
            <w:vAlign w:val="center"/>
            <w:hideMark/>
          </w:tcPr>
          <w:p w14:paraId="474E82CB"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&lt;0.001</w:t>
            </w:r>
          </w:p>
        </w:tc>
        <w:tc>
          <w:tcPr>
            <w:tcW w:w="1004" w:type="pct"/>
            <w:tcBorders>
              <w:top w:val="nil"/>
              <w:left w:val="nil"/>
              <w:bottom w:val="single" w:sz="4" w:space="0" w:color="auto"/>
              <w:right w:val="nil"/>
            </w:tcBorders>
            <w:shd w:val="clear" w:color="auto" w:fill="auto"/>
            <w:noWrap/>
            <w:vAlign w:val="center"/>
            <w:hideMark/>
          </w:tcPr>
          <w:p w14:paraId="29FC88A7" w14:textId="77777777" w:rsidR="003B0628" w:rsidRPr="00A858D5" w:rsidRDefault="003B0628" w:rsidP="001745CB">
            <w:pPr>
              <w:jc w:val="center"/>
              <w:rPr>
                <w:rFonts w:ascii="Calibri" w:hAnsi="Calibri"/>
                <w:i/>
                <w:iCs/>
                <w:color w:val="000000"/>
                <w:sz w:val="21"/>
                <w:szCs w:val="21"/>
                <w:lang w:val="en-GB"/>
              </w:rPr>
            </w:pPr>
            <w:r w:rsidRPr="00A858D5">
              <w:rPr>
                <w:rFonts w:ascii="Calibri" w:hAnsi="Calibri"/>
                <w:i/>
                <w:iCs/>
                <w:color w:val="000000"/>
                <w:sz w:val="21"/>
                <w:szCs w:val="21"/>
                <w:lang w:val="en-GB"/>
              </w:rPr>
              <w:t>&lt;0.001</w:t>
            </w:r>
          </w:p>
        </w:tc>
      </w:tr>
      <w:tr w:rsidR="003B0628" w:rsidRPr="00A858D5" w14:paraId="2B7CD211" w14:textId="77777777" w:rsidTr="001745CB">
        <w:trPr>
          <w:trHeight w:val="320"/>
        </w:trPr>
        <w:tc>
          <w:tcPr>
            <w:tcW w:w="5000" w:type="pct"/>
            <w:gridSpan w:val="6"/>
            <w:tcBorders>
              <w:top w:val="single" w:sz="4" w:space="0" w:color="auto"/>
              <w:left w:val="nil"/>
              <w:right w:val="nil"/>
            </w:tcBorders>
            <w:shd w:val="clear" w:color="auto" w:fill="auto"/>
            <w:noWrap/>
            <w:vAlign w:val="center"/>
            <w:hideMark/>
          </w:tcPr>
          <w:p w14:paraId="7578846A" w14:textId="77777777" w:rsidR="003B0628" w:rsidRPr="00A858D5" w:rsidRDefault="003B0628" w:rsidP="001745CB">
            <w:pPr>
              <w:rPr>
                <w:rFonts w:ascii="Calibri" w:hAnsi="Calibri"/>
                <w:color w:val="000000"/>
                <w:sz w:val="21"/>
                <w:szCs w:val="21"/>
                <w:lang w:val="en-GB"/>
              </w:rPr>
            </w:pPr>
            <w:r w:rsidRPr="00A858D5">
              <w:rPr>
                <w:rFonts w:ascii="Calibri" w:hAnsi="Calibri"/>
                <w:color w:val="000000"/>
                <w:sz w:val="21"/>
                <w:szCs w:val="21"/>
                <w:lang w:val="en-GB"/>
              </w:rPr>
              <w:t xml:space="preserve">Note: </w:t>
            </w:r>
            <w:proofErr w:type="gramStart"/>
            <w:r w:rsidRPr="00A858D5">
              <w:rPr>
                <w:rFonts w:ascii="Calibri" w:hAnsi="Calibri"/>
                <w:color w:val="000000"/>
                <w:sz w:val="21"/>
                <w:szCs w:val="21"/>
                <w:lang w:val="en-GB"/>
              </w:rPr>
              <w:t>OR,</w:t>
            </w:r>
            <w:proofErr w:type="gramEnd"/>
            <w:r w:rsidRPr="00A858D5">
              <w:rPr>
                <w:rFonts w:ascii="Calibri" w:hAnsi="Calibri"/>
                <w:color w:val="000000"/>
                <w:sz w:val="21"/>
                <w:szCs w:val="21"/>
                <w:lang w:val="en-GB"/>
              </w:rPr>
              <w:t xml:space="preserve"> Odds Ratio; HR, Hazard Ratio; 95%CI, 95% Confidence Intervals. † Multilevel logistic regression models for 2001. ‡ Cox proportional hazards models using age as the underlying time scale, follow-up period 01 October 2001 - 31 December 2014. * p-value &lt; 0.05. Models adjusted by age, gender, migrant background, educational attainment, housing tenure, household living arrangement, PM</w:t>
            </w:r>
            <w:r w:rsidRPr="00A858D5">
              <w:rPr>
                <w:rFonts w:ascii="Calibri" w:hAnsi="Calibri"/>
                <w:color w:val="000000"/>
                <w:sz w:val="21"/>
                <w:szCs w:val="21"/>
                <w:vertAlign w:val="subscript"/>
                <w:lang w:val="en-GB"/>
              </w:rPr>
              <w:t>2.5</w:t>
            </w:r>
            <w:r w:rsidRPr="00A858D5">
              <w:rPr>
                <w:rFonts w:ascii="Calibri" w:hAnsi="Calibri"/>
                <w:color w:val="000000"/>
                <w:sz w:val="21"/>
                <w:szCs w:val="21"/>
                <w:lang w:val="en-GB"/>
              </w:rPr>
              <w:t xml:space="preserve">, </w:t>
            </w:r>
            <w:proofErr w:type="spellStart"/>
            <w:r w:rsidRPr="00A858D5">
              <w:rPr>
                <w:rFonts w:ascii="Calibri" w:hAnsi="Calibri"/>
                <w:color w:val="000000"/>
                <w:sz w:val="21"/>
                <w:szCs w:val="21"/>
                <w:lang w:val="en-GB"/>
              </w:rPr>
              <w:t>L</w:t>
            </w:r>
            <w:r w:rsidRPr="00A858D5">
              <w:rPr>
                <w:rFonts w:ascii="Calibri" w:hAnsi="Calibri"/>
                <w:color w:val="000000"/>
                <w:sz w:val="21"/>
                <w:szCs w:val="21"/>
                <w:vertAlign w:val="subscript"/>
                <w:lang w:val="en-GB"/>
              </w:rPr>
              <w:t>den</w:t>
            </w:r>
            <w:proofErr w:type="spellEnd"/>
            <w:r w:rsidRPr="00A858D5">
              <w:rPr>
                <w:rFonts w:ascii="Calibri" w:hAnsi="Calibri"/>
                <w:color w:val="000000"/>
                <w:sz w:val="21"/>
                <w:szCs w:val="21"/>
                <w:lang w:val="en-GB"/>
              </w:rPr>
              <w:t xml:space="preserve"> and area-level SEP. Surrounding greenness IQR: 0.2, Perceived neighbourhood greenness IQR: 28.7.</w:t>
            </w:r>
          </w:p>
        </w:tc>
      </w:tr>
      <w:tr w:rsidR="003B0628" w:rsidRPr="00A858D5" w14:paraId="301CBA6C" w14:textId="77777777" w:rsidTr="001745CB">
        <w:trPr>
          <w:trHeight w:val="320"/>
        </w:trPr>
        <w:tc>
          <w:tcPr>
            <w:tcW w:w="5000" w:type="pct"/>
            <w:gridSpan w:val="6"/>
            <w:tcBorders>
              <w:top w:val="nil"/>
              <w:left w:val="nil"/>
              <w:bottom w:val="single" w:sz="4" w:space="0" w:color="auto"/>
              <w:right w:val="nil"/>
            </w:tcBorders>
            <w:shd w:val="clear" w:color="auto" w:fill="auto"/>
            <w:noWrap/>
            <w:vAlign w:val="center"/>
            <w:hideMark/>
          </w:tcPr>
          <w:p w14:paraId="6E939DE1" w14:textId="77777777" w:rsidR="003B0628" w:rsidRPr="00A858D5" w:rsidRDefault="003B0628" w:rsidP="001745CB">
            <w:pPr>
              <w:rPr>
                <w:rFonts w:ascii="Calibri" w:hAnsi="Calibri"/>
                <w:color w:val="000000"/>
                <w:sz w:val="21"/>
                <w:szCs w:val="21"/>
                <w:lang w:val="en-GB"/>
              </w:rPr>
            </w:pPr>
            <w:r w:rsidRPr="00A858D5">
              <w:rPr>
                <w:rFonts w:ascii="Calibri" w:hAnsi="Calibri" w:cs="Calibri"/>
                <w:color w:val="000000"/>
                <w:sz w:val="21"/>
                <w:szCs w:val="21"/>
                <w:vertAlign w:val="superscript"/>
                <w:lang w:val="en-GB"/>
              </w:rPr>
              <w:t>a</w:t>
            </w:r>
            <w:r w:rsidRPr="00A858D5">
              <w:rPr>
                <w:rFonts w:ascii="Calibri" w:hAnsi="Calibri"/>
                <w:color w:val="000000"/>
                <w:sz w:val="21"/>
                <w:szCs w:val="21"/>
                <w:lang w:val="en-GB"/>
              </w:rPr>
              <w:t xml:space="preserve"> Reported p-value derived from the likelihood ratio test comparing the goodness of fit of the main model with the model including the interaction term.</w:t>
            </w:r>
          </w:p>
        </w:tc>
      </w:tr>
    </w:tbl>
    <w:p w14:paraId="2B0A8D63" w14:textId="59289A79" w:rsidR="003B0628" w:rsidRPr="00A858D5" w:rsidRDefault="003B0628">
      <w:pPr>
        <w:rPr>
          <w:lang w:val="en-GB"/>
        </w:rPr>
      </w:pPr>
    </w:p>
    <w:p w14:paraId="05BAFA9D" w14:textId="682E0673" w:rsidR="003B0628" w:rsidRPr="00A858D5" w:rsidRDefault="003B0628">
      <w:pPr>
        <w:rPr>
          <w:rFonts w:cstheme="minorHAnsi"/>
          <w:szCs w:val="22"/>
          <w:lang w:val="en-GB"/>
        </w:rPr>
      </w:pPr>
      <w:r w:rsidRPr="00A858D5">
        <w:rPr>
          <w:rFonts w:cstheme="minorHAnsi"/>
          <w:b/>
          <w:bCs/>
          <w:szCs w:val="22"/>
          <w:lang w:val="en-GB"/>
        </w:rPr>
        <w:t xml:space="preserve">Table 2. </w:t>
      </w:r>
      <w:r w:rsidRPr="00A858D5">
        <w:rPr>
          <w:rFonts w:cstheme="minorHAnsi"/>
          <w:szCs w:val="22"/>
          <w:lang w:val="en-GB"/>
        </w:rPr>
        <w:t>Adjusted associations and 95% confidence intervals between IQR increments of residential greenness and perceived neighbourhood greenness and poor self-perceived health and natural cause mortality, stratified by gender, educational attainment and migrant background. Brussels Capital Region, 2001-2014.</w:t>
      </w:r>
    </w:p>
    <w:p w14:paraId="14ECEA9C" w14:textId="77777777" w:rsidR="003B0628" w:rsidRPr="00A858D5" w:rsidRDefault="003B0628" w:rsidP="00CB1162">
      <w:pPr>
        <w:rPr>
          <w:bCs/>
          <w:iCs/>
          <w:lang w:val="en-GB"/>
        </w:rPr>
      </w:pPr>
    </w:p>
    <w:p w14:paraId="41444673" w14:textId="77777777" w:rsidR="003B0628" w:rsidRPr="00A858D5" w:rsidRDefault="003B0628" w:rsidP="00CB1162">
      <w:pPr>
        <w:rPr>
          <w:bCs/>
          <w:iCs/>
          <w:lang w:val="en-GB"/>
        </w:rPr>
        <w:sectPr w:rsidR="003B0628" w:rsidRPr="00A858D5" w:rsidSect="003B0628">
          <w:pgSz w:w="16840" w:h="11900" w:orient="landscape"/>
          <w:pgMar w:top="1440" w:right="1440" w:bottom="1440" w:left="1440" w:header="708" w:footer="708" w:gutter="0"/>
          <w:cols w:space="708"/>
          <w:docGrid w:linePitch="360"/>
        </w:sectPr>
      </w:pPr>
    </w:p>
    <w:p w14:paraId="41305DB9" w14:textId="3A19DBA9" w:rsidR="004C5EEE" w:rsidRPr="00A858D5" w:rsidRDefault="00472923" w:rsidP="00CB1162">
      <w:pPr>
        <w:rPr>
          <w:lang w:val="en-GB"/>
        </w:rPr>
      </w:pPr>
      <w:r w:rsidRPr="00A858D5">
        <w:rPr>
          <w:bCs/>
          <w:iCs/>
          <w:lang w:val="en-GB"/>
        </w:rPr>
        <w:lastRenderedPageBreak/>
        <w:t>The results of the second</w:t>
      </w:r>
      <w:r w:rsidR="00EC6CB8" w:rsidRPr="00A858D5">
        <w:rPr>
          <w:bCs/>
          <w:iCs/>
          <w:lang w:val="en-GB"/>
        </w:rPr>
        <w:t>-</w:t>
      </w:r>
      <w:r w:rsidRPr="00A858D5">
        <w:rPr>
          <w:bCs/>
          <w:iCs/>
          <w:lang w:val="en-GB"/>
        </w:rPr>
        <w:t xml:space="preserve">grade </w:t>
      </w:r>
      <w:r w:rsidR="00A90A97" w:rsidRPr="00A858D5">
        <w:rPr>
          <w:bCs/>
          <w:iCs/>
          <w:lang w:val="en-GB"/>
        </w:rPr>
        <w:t>intersections</w:t>
      </w:r>
      <w:r w:rsidR="006C277A" w:rsidRPr="00A858D5">
        <w:rPr>
          <w:bCs/>
          <w:iCs/>
          <w:lang w:val="en-GB"/>
        </w:rPr>
        <w:t xml:space="preserve"> (gender</w:t>
      </w:r>
      <w:r w:rsidR="00B84730" w:rsidRPr="00A858D5">
        <w:rPr>
          <w:bCs/>
          <w:iCs/>
          <w:lang w:val="en-GB"/>
        </w:rPr>
        <w:t xml:space="preserve"> with educational attainment</w:t>
      </w:r>
      <w:r w:rsidR="00E81041" w:rsidRPr="00A858D5">
        <w:rPr>
          <w:bCs/>
          <w:iCs/>
          <w:lang w:val="en-GB"/>
        </w:rPr>
        <w:t xml:space="preserve"> and gender with </w:t>
      </w:r>
      <w:r w:rsidR="00B84730" w:rsidRPr="00A858D5">
        <w:rPr>
          <w:bCs/>
          <w:iCs/>
          <w:lang w:val="en-GB"/>
        </w:rPr>
        <w:t>migrant background)</w:t>
      </w:r>
      <w:r w:rsidR="00A90A97" w:rsidRPr="00A858D5">
        <w:rPr>
          <w:bCs/>
          <w:iCs/>
          <w:lang w:val="en-GB"/>
        </w:rPr>
        <w:t xml:space="preserve"> </w:t>
      </w:r>
      <w:r w:rsidR="008F5995" w:rsidRPr="00A858D5">
        <w:rPr>
          <w:bCs/>
          <w:iCs/>
          <w:lang w:val="en-GB"/>
        </w:rPr>
        <w:t>for</w:t>
      </w:r>
      <w:r w:rsidR="001C1B11" w:rsidRPr="00A858D5">
        <w:rPr>
          <w:bCs/>
          <w:iCs/>
          <w:lang w:val="en-GB"/>
        </w:rPr>
        <w:t xml:space="preserve"> the exposure to </w:t>
      </w:r>
      <w:r w:rsidR="000B6CA2" w:rsidRPr="00A858D5">
        <w:rPr>
          <w:bCs/>
          <w:iCs/>
          <w:lang w:val="en-GB"/>
        </w:rPr>
        <w:t xml:space="preserve">surrounding greenness </w:t>
      </w:r>
      <w:r w:rsidRPr="00A858D5">
        <w:rPr>
          <w:bCs/>
          <w:iCs/>
          <w:lang w:val="en-GB"/>
        </w:rPr>
        <w:t xml:space="preserve">are </w:t>
      </w:r>
      <w:r w:rsidR="00CD3740" w:rsidRPr="00A858D5">
        <w:rPr>
          <w:bCs/>
          <w:iCs/>
          <w:lang w:val="en-GB"/>
        </w:rPr>
        <w:t xml:space="preserve">presented </w:t>
      </w:r>
      <w:r w:rsidR="00321654" w:rsidRPr="00A858D5">
        <w:rPr>
          <w:bCs/>
          <w:iCs/>
          <w:lang w:val="en-GB"/>
        </w:rPr>
        <w:t xml:space="preserve">in </w:t>
      </w:r>
      <w:r w:rsidR="00B84730" w:rsidRPr="00A858D5">
        <w:rPr>
          <w:bCs/>
          <w:iCs/>
          <w:lang w:val="en-GB"/>
        </w:rPr>
        <w:t xml:space="preserve">Figure </w:t>
      </w:r>
      <w:r w:rsidR="00D81E10">
        <w:rPr>
          <w:bCs/>
          <w:iCs/>
          <w:lang w:val="en-GB"/>
        </w:rPr>
        <w:t>3</w:t>
      </w:r>
      <w:r w:rsidR="00CE643B" w:rsidRPr="00A858D5">
        <w:rPr>
          <w:bCs/>
          <w:iCs/>
          <w:lang w:val="en-GB"/>
        </w:rPr>
        <w:t xml:space="preserve"> and fully reported in Table</w:t>
      </w:r>
      <w:r w:rsidR="00D441D2" w:rsidRPr="00A858D5">
        <w:rPr>
          <w:bCs/>
          <w:iCs/>
          <w:lang w:val="en-GB"/>
        </w:rPr>
        <w:t>s</w:t>
      </w:r>
      <w:r w:rsidR="00CE643B" w:rsidRPr="00A858D5">
        <w:rPr>
          <w:bCs/>
          <w:iCs/>
          <w:lang w:val="en-GB"/>
        </w:rPr>
        <w:t xml:space="preserve"> S3</w:t>
      </w:r>
      <w:r w:rsidR="00D441D2" w:rsidRPr="00A858D5">
        <w:rPr>
          <w:bCs/>
          <w:iCs/>
          <w:lang w:val="en-GB"/>
        </w:rPr>
        <w:t>-S4</w:t>
      </w:r>
      <w:r w:rsidR="00CE643B" w:rsidRPr="00A858D5">
        <w:rPr>
          <w:bCs/>
          <w:iCs/>
          <w:lang w:val="en-GB"/>
        </w:rPr>
        <w:t>.</w:t>
      </w:r>
      <w:r w:rsidR="00D63056" w:rsidRPr="00A858D5">
        <w:rPr>
          <w:bCs/>
          <w:iCs/>
          <w:lang w:val="en-GB"/>
        </w:rPr>
        <w:t xml:space="preserve"> </w:t>
      </w:r>
      <w:r w:rsidR="00827B50" w:rsidRPr="00A858D5">
        <w:rPr>
          <w:bCs/>
          <w:iCs/>
          <w:lang w:val="en-GB"/>
        </w:rPr>
        <w:t xml:space="preserve">The results </w:t>
      </w:r>
      <w:r w:rsidR="00D441D2" w:rsidRPr="00A858D5">
        <w:rPr>
          <w:bCs/>
          <w:iCs/>
          <w:lang w:val="en-GB"/>
        </w:rPr>
        <w:t>of</w:t>
      </w:r>
      <w:r w:rsidR="00827B50" w:rsidRPr="00A858D5">
        <w:rPr>
          <w:bCs/>
          <w:iCs/>
          <w:lang w:val="en-GB"/>
        </w:rPr>
        <w:t xml:space="preserve"> </w:t>
      </w:r>
      <w:r w:rsidR="00D263F3" w:rsidRPr="00A858D5">
        <w:rPr>
          <w:bCs/>
          <w:iCs/>
          <w:lang w:val="en-GB"/>
        </w:rPr>
        <w:t xml:space="preserve">the same models with </w:t>
      </w:r>
      <w:r w:rsidR="00827B50" w:rsidRPr="00A858D5">
        <w:rPr>
          <w:bCs/>
          <w:iCs/>
          <w:lang w:val="en-GB"/>
        </w:rPr>
        <w:t>perceived neighbourhood greenness did almost not differ</w:t>
      </w:r>
      <w:r w:rsidR="00954A19" w:rsidRPr="00A858D5">
        <w:rPr>
          <w:bCs/>
          <w:iCs/>
          <w:lang w:val="en-GB"/>
        </w:rPr>
        <w:t xml:space="preserve"> and are</w:t>
      </w:r>
      <w:r w:rsidR="00D441D2" w:rsidRPr="00A858D5">
        <w:rPr>
          <w:bCs/>
          <w:iCs/>
          <w:lang w:val="en-GB"/>
        </w:rPr>
        <w:t xml:space="preserve"> shown in Tables S3-S4</w:t>
      </w:r>
      <w:r w:rsidR="00454852" w:rsidRPr="00A858D5">
        <w:rPr>
          <w:bCs/>
          <w:iCs/>
          <w:lang w:val="en-GB"/>
        </w:rPr>
        <w:t xml:space="preserve">. </w:t>
      </w:r>
      <w:r w:rsidR="00E81041" w:rsidRPr="00A858D5">
        <w:rPr>
          <w:bCs/>
          <w:iCs/>
          <w:lang w:val="en-GB"/>
        </w:rPr>
        <w:t>Each of th</w:t>
      </w:r>
      <w:r w:rsidR="004D3EF3" w:rsidRPr="00A858D5">
        <w:rPr>
          <w:bCs/>
          <w:iCs/>
          <w:lang w:val="en-GB"/>
        </w:rPr>
        <w:t>e</w:t>
      </w:r>
      <w:r w:rsidR="004D3EF3" w:rsidRPr="00A858D5">
        <w:rPr>
          <w:lang w:val="en-GB"/>
        </w:rPr>
        <w:t xml:space="preserve"> models including the second-grade interaction</w:t>
      </w:r>
      <w:r w:rsidR="007B5811" w:rsidRPr="00A858D5">
        <w:rPr>
          <w:lang w:val="en-GB"/>
        </w:rPr>
        <w:t xml:space="preserve"> terms</w:t>
      </w:r>
      <w:r w:rsidR="004320F9" w:rsidRPr="00A858D5">
        <w:rPr>
          <w:lang w:val="en-GB"/>
        </w:rPr>
        <w:t xml:space="preserve"> fit</w:t>
      </w:r>
      <w:r w:rsidR="00E81041" w:rsidRPr="00A858D5">
        <w:rPr>
          <w:lang w:val="en-GB"/>
        </w:rPr>
        <w:t>ted the data better compared to the first-order interaction models they are nested in</w:t>
      </w:r>
      <w:r w:rsidR="00C4382F" w:rsidRPr="00A858D5">
        <w:rPr>
          <w:lang w:val="en-GB"/>
        </w:rPr>
        <w:t>.</w:t>
      </w:r>
      <w:r w:rsidR="000045E4" w:rsidRPr="00A858D5">
        <w:rPr>
          <w:lang w:val="en-GB"/>
        </w:rPr>
        <w:t xml:space="preserve"> </w:t>
      </w:r>
      <w:r w:rsidR="0016734C" w:rsidRPr="00A858D5">
        <w:rPr>
          <w:lang w:val="en-GB"/>
        </w:rPr>
        <w:t>When stratifying by</w:t>
      </w:r>
      <w:r w:rsidR="001170DC" w:rsidRPr="00A858D5">
        <w:rPr>
          <w:lang w:val="en-GB"/>
        </w:rPr>
        <w:t xml:space="preserve"> gender and educational attainment</w:t>
      </w:r>
      <w:r w:rsidR="004825A5" w:rsidRPr="00A858D5">
        <w:rPr>
          <w:lang w:val="en-GB"/>
        </w:rPr>
        <w:t>,</w:t>
      </w:r>
      <w:r w:rsidR="001170DC" w:rsidRPr="00A858D5">
        <w:rPr>
          <w:lang w:val="en-GB"/>
        </w:rPr>
        <w:t xml:space="preserve"> </w:t>
      </w:r>
      <w:r w:rsidR="001136DF" w:rsidRPr="00A858D5">
        <w:rPr>
          <w:lang w:val="en-GB"/>
        </w:rPr>
        <w:t>for</w:t>
      </w:r>
      <w:r w:rsidR="00911A60" w:rsidRPr="00A858D5">
        <w:rPr>
          <w:lang w:val="en-GB"/>
        </w:rPr>
        <w:t xml:space="preserve"> poor self-perceived health</w:t>
      </w:r>
      <w:r w:rsidR="00E8255C" w:rsidRPr="00A858D5">
        <w:rPr>
          <w:lang w:val="en-GB"/>
        </w:rPr>
        <w:t>, we observed that, among women,</w:t>
      </w:r>
      <w:r w:rsidR="00397C65" w:rsidRPr="00A858D5">
        <w:rPr>
          <w:lang w:val="en-GB"/>
        </w:rPr>
        <w:t xml:space="preserve"> </w:t>
      </w:r>
      <w:r w:rsidR="00BA7CD9" w:rsidRPr="00A858D5">
        <w:rPr>
          <w:lang w:val="en-GB"/>
        </w:rPr>
        <w:t xml:space="preserve">the </w:t>
      </w:r>
      <w:r w:rsidR="00E77901" w:rsidRPr="00A858D5">
        <w:rPr>
          <w:lang w:val="en-GB"/>
        </w:rPr>
        <w:t xml:space="preserve">inverse </w:t>
      </w:r>
      <w:r w:rsidR="00BA7CD9" w:rsidRPr="00A858D5">
        <w:rPr>
          <w:lang w:val="en-GB"/>
        </w:rPr>
        <w:t xml:space="preserve">associations showed a </w:t>
      </w:r>
      <w:r w:rsidR="00085E54" w:rsidRPr="00A858D5">
        <w:rPr>
          <w:lang w:val="en-GB"/>
        </w:rPr>
        <w:t xml:space="preserve">gradient </w:t>
      </w:r>
      <w:r w:rsidR="00ED28CF" w:rsidRPr="00A858D5">
        <w:rPr>
          <w:lang w:val="en-GB"/>
        </w:rPr>
        <w:t>across education strata</w:t>
      </w:r>
      <w:r w:rsidR="005E3EA8" w:rsidRPr="00A858D5">
        <w:rPr>
          <w:lang w:val="en-GB"/>
        </w:rPr>
        <w:t>: the lower the educational attainment, the</w:t>
      </w:r>
      <w:r w:rsidR="00BA7CD9" w:rsidRPr="00A858D5">
        <w:rPr>
          <w:lang w:val="en-GB"/>
        </w:rPr>
        <w:t xml:space="preserve"> </w:t>
      </w:r>
      <w:r w:rsidR="00E77901" w:rsidRPr="00A858D5">
        <w:rPr>
          <w:lang w:val="en-GB"/>
        </w:rPr>
        <w:t>stronger</w:t>
      </w:r>
      <w:r w:rsidR="00494DA6" w:rsidRPr="00A858D5">
        <w:rPr>
          <w:lang w:val="en-GB"/>
        </w:rPr>
        <w:t xml:space="preserve"> </w:t>
      </w:r>
      <w:r w:rsidR="002D346C" w:rsidRPr="00A858D5">
        <w:rPr>
          <w:lang w:val="en-GB"/>
        </w:rPr>
        <w:t xml:space="preserve">the </w:t>
      </w:r>
      <w:r w:rsidR="00BA7CD9" w:rsidRPr="00A858D5">
        <w:rPr>
          <w:lang w:val="en-GB"/>
        </w:rPr>
        <w:t>associations</w:t>
      </w:r>
      <w:r w:rsidR="002D346C" w:rsidRPr="00A858D5">
        <w:rPr>
          <w:lang w:val="en-GB"/>
        </w:rPr>
        <w:t>.</w:t>
      </w:r>
      <w:r w:rsidR="00391222" w:rsidRPr="00A858D5">
        <w:rPr>
          <w:lang w:val="en-GB"/>
        </w:rPr>
        <w:t xml:space="preserve"> </w:t>
      </w:r>
      <w:r w:rsidR="004400CD" w:rsidRPr="00A858D5">
        <w:rPr>
          <w:lang w:val="en-GB"/>
        </w:rPr>
        <w:t>A</w:t>
      </w:r>
      <w:r w:rsidR="002D4E98" w:rsidRPr="00A858D5">
        <w:rPr>
          <w:lang w:val="en-GB"/>
        </w:rPr>
        <w:t>ssociation</w:t>
      </w:r>
      <w:r w:rsidR="002D346C" w:rsidRPr="00A858D5">
        <w:rPr>
          <w:lang w:val="en-GB"/>
        </w:rPr>
        <w:t>s</w:t>
      </w:r>
      <w:r w:rsidR="002D4E98" w:rsidRPr="00A858D5">
        <w:rPr>
          <w:lang w:val="en-GB"/>
        </w:rPr>
        <w:t xml:space="preserve"> </w:t>
      </w:r>
      <w:r w:rsidR="002D346C" w:rsidRPr="00A858D5">
        <w:rPr>
          <w:lang w:val="en-GB"/>
        </w:rPr>
        <w:t>were</w:t>
      </w:r>
      <w:r w:rsidR="002D4E98" w:rsidRPr="00A858D5">
        <w:rPr>
          <w:lang w:val="en-GB"/>
        </w:rPr>
        <w:t xml:space="preserve"> only </w:t>
      </w:r>
      <w:r w:rsidR="004400CD" w:rsidRPr="00A858D5">
        <w:rPr>
          <w:lang w:val="en-GB"/>
        </w:rPr>
        <w:t>significant</w:t>
      </w:r>
      <w:r w:rsidR="002D4E98" w:rsidRPr="00A858D5">
        <w:rPr>
          <w:lang w:val="en-GB"/>
        </w:rPr>
        <w:t xml:space="preserve"> among </w:t>
      </w:r>
      <w:r w:rsidR="009C1930" w:rsidRPr="00A858D5">
        <w:rPr>
          <w:lang w:val="en-GB"/>
        </w:rPr>
        <w:t xml:space="preserve">low-educated </w:t>
      </w:r>
      <w:r w:rsidR="002D4E98" w:rsidRPr="00A858D5">
        <w:rPr>
          <w:lang w:val="en-GB"/>
        </w:rPr>
        <w:t xml:space="preserve">women </w:t>
      </w:r>
      <w:r w:rsidR="0093709B" w:rsidRPr="00A858D5">
        <w:rPr>
          <w:lang w:val="en-GB"/>
        </w:rPr>
        <w:t>[</w:t>
      </w:r>
      <w:r w:rsidR="00180029" w:rsidRPr="00A858D5">
        <w:rPr>
          <w:lang w:val="en-GB"/>
        </w:rPr>
        <w:t xml:space="preserve">for surrounding greenness: </w:t>
      </w:r>
      <w:r w:rsidR="00492648" w:rsidRPr="00A858D5">
        <w:rPr>
          <w:lang w:val="en-GB"/>
        </w:rPr>
        <w:t>O</w:t>
      </w:r>
      <w:r w:rsidR="00BA7CD9" w:rsidRPr="00A858D5">
        <w:rPr>
          <w:lang w:val="en-GB"/>
        </w:rPr>
        <w:t>R 0.9</w:t>
      </w:r>
      <w:r w:rsidR="006E7506" w:rsidRPr="00A858D5">
        <w:rPr>
          <w:lang w:val="en-GB"/>
        </w:rPr>
        <w:t>2</w:t>
      </w:r>
      <w:r w:rsidR="00BA7CD9" w:rsidRPr="00A858D5">
        <w:rPr>
          <w:lang w:val="en-GB"/>
        </w:rPr>
        <w:t xml:space="preserve"> </w:t>
      </w:r>
      <w:r w:rsidR="0093709B" w:rsidRPr="00A858D5">
        <w:rPr>
          <w:lang w:val="en-GB"/>
        </w:rPr>
        <w:t>(</w:t>
      </w:r>
      <w:r w:rsidR="00BA7CD9" w:rsidRPr="00A858D5">
        <w:rPr>
          <w:lang w:val="en-GB"/>
        </w:rPr>
        <w:t>95%CI: 0.</w:t>
      </w:r>
      <w:r w:rsidR="00492648" w:rsidRPr="00A858D5">
        <w:rPr>
          <w:lang w:val="en-GB"/>
        </w:rPr>
        <w:t>89</w:t>
      </w:r>
      <w:r w:rsidR="0093709B" w:rsidRPr="00A858D5">
        <w:rPr>
          <w:lang w:val="en-GB"/>
        </w:rPr>
        <w:t xml:space="preserve">, </w:t>
      </w:r>
      <w:r w:rsidR="00BA7CD9" w:rsidRPr="00A858D5">
        <w:rPr>
          <w:lang w:val="en-GB"/>
        </w:rPr>
        <w:t>0.</w:t>
      </w:r>
      <w:r w:rsidR="00492648" w:rsidRPr="00A858D5">
        <w:rPr>
          <w:lang w:val="en-GB"/>
        </w:rPr>
        <w:t>9</w:t>
      </w:r>
      <w:r w:rsidR="00767BFC" w:rsidRPr="00A858D5">
        <w:rPr>
          <w:lang w:val="en-GB"/>
        </w:rPr>
        <w:t>5</w:t>
      </w:r>
      <w:r w:rsidR="00BA7CD9" w:rsidRPr="00A858D5">
        <w:rPr>
          <w:lang w:val="en-GB"/>
        </w:rPr>
        <w:t>)</w:t>
      </w:r>
      <w:r w:rsidR="0093709B" w:rsidRPr="00A858D5">
        <w:rPr>
          <w:lang w:val="en-GB"/>
        </w:rPr>
        <w:t>]</w:t>
      </w:r>
      <w:r w:rsidR="000045E4" w:rsidRPr="00A858D5">
        <w:rPr>
          <w:lang w:val="en-GB"/>
        </w:rPr>
        <w:t>.</w:t>
      </w:r>
      <w:r w:rsidR="002B6646" w:rsidRPr="00A858D5">
        <w:rPr>
          <w:lang w:val="en-GB"/>
        </w:rPr>
        <w:t xml:space="preserve"> </w:t>
      </w:r>
      <w:r w:rsidR="00852662" w:rsidRPr="00A858D5">
        <w:rPr>
          <w:lang w:val="en-GB"/>
        </w:rPr>
        <w:t>Among men</w:t>
      </w:r>
      <w:r w:rsidR="000045E4" w:rsidRPr="00A858D5">
        <w:rPr>
          <w:lang w:val="en-GB"/>
        </w:rPr>
        <w:t xml:space="preserve">, </w:t>
      </w:r>
      <w:r w:rsidR="00BA7CD9" w:rsidRPr="00A858D5">
        <w:rPr>
          <w:lang w:val="en-GB"/>
        </w:rPr>
        <w:t xml:space="preserve">the strongest </w:t>
      </w:r>
      <w:r w:rsidR="00E77901" w:rsidRPr="00A858D5">
        <w:rPr>
          <w:lang w:val="en-GB"/>
        </w:rPr>
        <w:t xml:space="preserve">inverse </w:t>
      </w:r>
      <w:r w:rsidR="00BA7CD9" w:rsidRPr="00A858D5">
        <w:rPr>
          <w:lang w:val="en-GB"/>
        </w:rPr>
        <w:t>associations</w:t>
      </w:r>
      <w:r w:rsidR="00852662" w:rsidRPr="00A858D5">
        <w:rPr>
          <w:lang w:val="en-GB"/>
        </w:rPr>
        <w:t xml:space="preserve"> were</w:t>
      </w:r>
      <w:r w:rsidR="00BA7CD9" w:rsidRPr="00A858D5">
        <w:rPr>
          <w:lang w:val="en-GB"/>
        </w:rPr>
        <w:t xml:space="preserve"> observed </w:t>
      </w:r>
      <w:r w:rsidR="00A3101A" w:rsidRPr="00A858D5">
        <w:rPr>
          <w:lang w:val="en-GB"/>
        </w:rPr>
        <w:t>in the</w:t>
      </w:r>
      <w:r w:rsidR="000C3465" w:rsidRPr="00A858D5">
        <w:rPr>
          <w:lang w:val="en-GB"/>
        </w:rPr>
        <w:t xml:space="preserve"> </w:t>
      </w:r>
      <w:r w:rsidR="00852662" w:rsidRPr="00A858D5">
        <w:rPr>
          <w:lang w:val="en-GB"/>
        </w:rPr>
        <w:t xml:space="preserve">tertiary </w:t>
      </w:r>
      <w:r w:rsidR="000D7ACB" w:rsidRPr="00A858D5">
        <w:rPr>
          <w:lang w:val="en-GB"/>
        </w:rPr>
        <w:t>educated</w:t>
      </w:r>
      <w:r w:rsidR="00C001DF" w:rsidRPr="00A858D5">
        <w:rPr>
          <w:lang w:val="en-GB"/>
        </w:rPr>
        <w:t xml:space="preserve">, but </w:t>
      </w:r>
      <w:r w:rsidR="00167C15" w:rsidRPr="00A858D5">
        <w:rPr>
          <w:lang w:val="en-GB"/>
        </w:rPr>
        <w:t xml:space="preserve">significant </w:t>
      </w:r>
      <w:r w:rsidR="00C001DF" w:rsidRPr="00A858D5">
        <w:rPr>
          <w:lang w:val="en-GB"/>
        </w:rPr>
        <w:t xml:space="preserve">inverse associations were also found in the </w:t>
      </w:r>
      <w:r w:rsidR="00167C15" w:rsidRPr="00A858D5">
        <w:rPr>
          <w:lang w:val="en-GB"/>
        </w:rPr>
        <w:t>lower education strata</w:t>
      </w:r>
      <w:r w:rsidR="00AF276B" w:rsidRPr="00A858D5">
        <w:rPr>
          <w:lang w:val="en-GB"/>
        </w:rPr>
        <w:t>.</w:t>
      </w:r>
      <w:r w:rsidR="001D44AA" w:rsidRPr="00A858D5">
        <w:rPr>
          <w:lang w:val="en-GB"/>
        </w:rPr>
        <w:t xml:space="preserve"> For natural cause mortality,</w:t>
      </w:r>
      <w:r w:rsidR="004B5EBF" w:rsidRPr="00A858D5">
        <w:rPr>
          <w:lang w:val="en-GB"/>
        </w:rPr>
        <w:t xml:space="preserve"> </w:t>
      </w:r>
      <w:r w:rsidR="00F51E2B" w:rsidRPr="00A858D5">
        <w:rPr>
          <w:lang w:val="en-GB"/>
        </w:rPr>
        <w:t>a</w:t>
      </w:r>
      <w:r w:rsidR="00E53E9A" w:rsidRPr="00A858D5">
        <w:rPr>
          <w:lang w:val="en-GB"/>
        </w:rPr>
        <w:t xml:space="preserve"> </w:t>
      </w:r>
      <w:r w:rsidR="00F51E2B" w:rsidRPr="00A858D5">
        <w:rPr>
          <w:lang w:val="en-GB"/>
        </w:rPr>
        <w:t>similar</w:t>
      </w:r>
      <w:r w:rsidR="00F71C1D" w:rsidRPr="00A858D5">
        <w:rPr>
          <w:lang w:val="en-GB"/>
        </w:rPr>
        <w:t xml:space="preserve"> pattern was observed; </w:t>
      </w:r>
      <w:r w:rsidR="00F51E2B" w:rsidRPr="00A858D5">
        <w:rPr>
          <w:lang w:val="en-GB"/>
        </w:rPr>
        <w:t>however</w:t>
      </w:r>
      <w:r w:rsidR="00F71C1D" w:rsidRPr="00A858D5">
        <w:rPr>
          <w:lang w:val="en-GB"/>
        </w:rPr>
        <w:t>, among women</w:t>
      </w:r>
      <w:r w:rsidR="00F51E2B" w:rsidRPr="00A858D5">
        <w:rPr>
          <w:lang w:val="en-GB"/>
        </w:rPr>
        <w:t>,</w:t>
      </w:r>
      <w:r w:rsidR="00F71C1D" w:rsidRPr="00A858D5">
        <w:rPr>
          <w:lang w:val="en-GB"/>
        </w:rPr>
        <w:t xml:space="preserve"> </w:t>
      </w:r>
      <w:r w:rsidR="00751BA5" w:rsidRPr="00A858D5">
        <w:rPr>
          <w:lang w:val="en-GB"/>
        </w:rPr>
        <w:t xml:space="preserve">there was </w:t>
      </w:r>
      <w:r w:rsidR="00B22D9C" w:rsidRPr="00A858D5">
        <w:rPr>
          <w:lang w:val="en-GB"/>
        </w:rPr>
        <w:t>a</w:t>
      </w:r>
      <w:r w:rsidR="00751BA5" w:rsidRPr="00A858D5">
        <w:rPr>
          <w:lang w:val="en-GB"/>
        </w:rPr>
        <w:t>n additional</w:t>
      </w:r>
      <w:r w:rsidR="000562EF" w:rsidRPr="00A858D5">
        <w:rPr>
          <w:lang w:val="en-GB"/>
        </w:rPr>
        <w:t xml:space="preserve"> </w:t>
      </w:r>
      <w:r w:rsidR="00F42C6B" w:rsidRPr="00A858D5">
        <w:rPr>
          <w:lang w:val="en-GB"/>
        </w:rPr>
        <w:t>significant protective</w:t>
      </w:r>
      <w:r w:rsidR="000562EF" w:rsidRPr="00A858D5">
        <w:rPr>
          <w:lang w:val="en-GB"/>
        </w:rPr>
        <w:t xml:space="preserve"> effect of surrounding greenness </w:t>
      </w:r>
      <w:r w:rsidR="00751BA5" w:rsidRPr="00A858D5">
        <w:rPr>
          <w:lang w:val="en-GB"/>
        </w:rPr>
        <w:t>in</w:t>
      </w:r>
      <w:r w:rsidR="000562EF" w:rsidRPr="00A858D5">
        <w:rPr>
          <w:lang w:val="en-GB"/>
        </w:rPr>
        <w:t xml:space="preserve"> the </w:t>
      </w:r>
      <w:r w:rsidR="00F42C6B" w:rsidRPr="00A858D5">
        <w:rPr>
          <w:lang w:val="en-GB"/>
        </w:rPr>
        <w:t>tertiary</w:t>
      </w:r>
      <w:r w:rsidR="000562EF" w:rsidRPr="00A858D5">
        <w:rPr>
          <w:lang w:val="en-GB"/>
        </w:rPr>
        <w:t xml:space="preserve"> educated</w:t>
      </w:r>
      <w:r w:rsidR="00273D76" w:rsidRPr="00A858D5">
        <w:rPr>
          <w:lang w:val="en-GB"/>
        </w:rPr>
        <w:t>.</w:t>
      </w:r>
      <w:r w:rsidR="007938B2" w:rsidRPr="00A858D5">
        <w:rPr>
          <w:lang w:val="en-GB"/>
        </w:rPr>
        <w:t xml:space="preserve"> </w:t>
      </w:r>
      <w:r w:rsidR="00282A34" w:rsidRPr="00A858D5">
        <w:rPr>
          <w:lang w:val="en-GB"/>
        </w:rPr>
        <w:t xml:space="preserve">Results </w:t>
      </w:r>
      <w:r w:rsidR="00DE4F74" w:rsidRPr="00A858D5">
        <w:rPr>
          <w:lang w:val="en-GB"/>
        </w:rPr>
        <w:t>stratifying by</w:t>
      </w:r>
      <w:r w:rsidR="00282A34" w:rsidRPr="00A858D5">
        <w:rPr>
          <w:lang w:val="en-GB"/>
        </w:rPr>
        <w:t xml:space="preserve"> gender and migrant background </w:t>
      </w:r>
      <w:r w:rsidR="00B12716" w:rsidRPr="00A858D5">
        <w:rPr>
          <w:lang w:val="en-GB"/>
        </w:rPr>
        <w:t>revealed</w:t>
      </w:r>
      <w:r w:rsidR="003A17BB" w:rsidRPr="00A858D5">
        <w:rPr>
          <w:lang w:val="en-GB"/>
        </w:rPr>
        <w:t xml:space="preserve">, </w:t>
      </w:r>
      <w:r w:rsidR="00E05867" w:rsidRPr="00A858D5">
        <w:rPr>
          <w:lang w:val="en-GB"/>
        </w:rPr>
        <w:t>f</w:t>
      </w:r>
      <w:r w:rsidR="00CF7C6A" w:rsidRPr="00A858D5">
        <w:rPr>
          <w:lang w:val="en-GB"/>
        </w:rPr>
        <w:t>or poor self-perceived</w:t>
      </w:r>
      <w:r w:rsidR="003A17BB" w:rsidRPr="00A858D5">
        <w:rPr>
          <w:lang w:val="en-GB"/>
        </w:rPr>
        <w:t>,</w:t>
      </w:r>
      <w:r w:rsidR="004E21B2" w:rsidRPr="00A858D5">
        <w:rPr>
          <w:lang w:val="en-GB"/>
        </w:rPr>
        <w:t xml:space="preserve"> </w:t>
      </w:r>
      <w:r w:rsidR="000B5FB6" w:rsidRPr="00A858D5">
        <w:rPr>
          <w:lang w:val="en-GB"/>
        </w:rPr>
        <w:t xml:space="preserve">that </w:t>
      </w:r>
      <w:r w:rsidR="00CF7C6A" w:rsidRPr="00A858D5">
        <w:rPr>
          <w:lang w:val="en-GB"/>
        </w:rPr>
        <w:t xml:space="preserve">the strongest </w:t>
      </w:r>
      <w:r w:rsidR="00BB2BA9" w:rsidRPr="00A858D5">
        <w:rPr>
          <w:lang w:val="en-GB"/>
        </w:rPr>
        <w:t xml:space="preserve">beneficial </w:t>
      </w:r>
      <w:r w:rsidR="00CF7C6A" w:rsidRPr="00A858D5">
        <w:rPr>
          <w:lang w:val="en-GB"/>
        </w:rPr>
        <w:t xml:space="preserve">associations </w:t>
      </w:r>
      <w:r w:rsidR="00F0515C" w:rsidRPr="00A858D5">
        <w:rPr>
          <w:lang w:val="en-GB"/>
        </w:rPr>
        <w:t>among</w:t>
      </w:r>
      <w:r w:rsidR="003A17BB" w:rsidRPr="00A858D5">
        <w:rPr>
          <w:lang w:val="en-GB"/>
        </w:rPr>
        <w:t xml:space="preserve"> women </w:t>
      </w:r>
      <w:r w:rsidR="00BB2BA9" w:rsidRPr="00A858D5">
        <w:rPr>
          <w:lang w:val="en-GB"/>
        </w:rPr>
        <w:t xml:space="preserve">were found </w:t>
      </w:r>
      <w:r w:rsidR="007B7BD6" w:rsidRPr="00A858D5">
        <w:rPr>
          <w:lang w:val="en-GB"/>
        </w:rPr>
        <w:t>in</w:t>
      </w:r>
      <w:r w:rsidR="00BB2BA9" w:rsidRPr="00A858D5">
        <w:rPr>
          <w:lang w:val="en-GB"/>
        </w:rPr>
        <w:t xml:space="preserve"> residents originating from other HIC</w:t>
      </w:r>
      <w:r w:rsidR="00CF7C6A" w:rsidRPr="00A858D5">
        <w:rPr>
          <w:lang w:val="en-GB"/>
        </w:rPr>
        <w:t xml:space="preserve"> </w:t>
      </w:r>
      <w:r w:rsidR="00BB2BA9" w:rsidRPr="00A858D5">
        <w:rPr>
          <w:lang w:val="en-GB"/>
        </w:rPr>
        <w:t>and from LMIC</w:t>
      </w:r>
      <w:r w:rsidR="007202DA" w:rsidRPr="00A858D5">
        <w:rPr>
          <w:lang w:val="en-GB"/>
        </w:rPr>
        <w:t>.</w:t>
      </w:r>
      <w:r w:rsidR="00BB2BA9" w:rsidRPr="00A858D5">
        <w:rPr>
          <w:lang w:val="en-GB"/>
        </w:rPr>
        <w:t xml:space="preserve"> </w:t>
      </w:r>
      <w:r w:rsidR="007202DA" w:rsidRPr="00A858D5">
        <w:rPr>
          <w:lang w:val="en-GB"/>
        </w:rPr>
        <w:t>A</w:t>
      </w:r>
      <w:r w:rsidR="00175C28" w:rsidRPr="00A858D5">
        <w:rPr>
          <w:lang w:val="en-GB"/>
        </w:rPr>
        <w:t>mong</w:t>
      </w:r>
      <w:r w:rsidR="00BB2BA9" w:rsidRPr="00A858D5">
        <w:rPr>
          <w:lang w:val="en-GB"/>
        </w:rPr>
        <w:t xml:space="preserve"> men</w:t>
      </w:r>
      <w:r w:rsidR="007202DA" w:rsidRPr="00A858D5">
        <w:rPr>
          <w:lang w:val="en-GB"/>
        </w:rPr>
        <w:t>,</w:t>
      </w:r>
      <w:r w:rsidR="00BB2BA9" w:rsidRPr="00A858D5">
        <w:rPr>
          <w:lang w:val="en-GB"/>
        </w:rPr>
        <w:t xml:space="preserve"> </w:t>
      </w:r>
      <w:r w:rsidR="00F3074B" w:rsidRPr="00A858D5">
        <w:rPr>
          <w:lang w:val="en-GB"/>
        </w:rPr>
        <w:t>significant inverse associations were found</w:t>
      </w:r>
      <w:r w:rsidR="006A018A" w:rsidRPr="00A858D5">
        <w:rPr>
          <w:lang w:val="en-GB"/>
        </w:rPr>
        <w:t xml:space="preserve"> </w:t>
      </w:r>
      <w:r w:rsidR="00AE3360" w:rsidRPr="00A858D5">
        <w:rPr>
          <w:lang w:val="en-GB"/>
        </w:rPr>
        <w:t>in</w:t>
      </w:r>
      <w:r w:rsidR="00BB2BA9" w:rsidRPr="00A858D5">
        <w:rPr>
          <w:lang w:val="en-GB"/>
        </w:rPr>
        <w:t xml:space="preserve"> </w:t>
      </w:r>
      <w:r w:rsidR="007A0683" w:rsidRPr="00A858D5">
        <w:rPr>
          <w:lang w:val="en-GB"/>
        </w:rPr>
        <w:t>residents originating from Belgium</w:t>
      </w:r>
      <w:r w:rsidR="00175C28" w:rsidRPr="00A858D5">
        <w:rPr>
          <w:lang w:val="en-GB"/>
        </w:rPr>
        <w:t xml:space="preserve"> </w:t>
      </w:r>
      <w:r w:rsidR="00E8230E" w:rsidRPr="00A858D5">
        <w:rPr>
          <w:lang w:val="en-GB"/>
        </w:rPr>
        <w:t xml:space="preserve">and </w:t>
      </w:r>
      <w:r w:rsidR="00175C28" w:rsidRPr="00A858D5">
        <w:rPr>
          <w:lang w:val="en-GB"/>
        </w:rPr>
        <w:t>from</w:t>
      </w:r>
      <w:r w:rsidR="00E8230E" w:rsidRPr="00A858D5">
        <w:rPr>
          <w:lang w:val="en-GB"/>
        </w:rPr>
        <w:t xml:space="preserve"> other HIC</w:t>
      </w:r>
      <w:r w:rsidR="009B40BA" w:rsidRPr="00A858D5">
        <w:rPr>
          <w:lang w:val="en-GB"/>
        </w:rPr>
        <w:t xml:space="preserve">, </w:t>
      </w:r>
      <w:r w:rsidR="00F3074B" w:rsidRPr="00A858D5">
        <w:rPr>
          <w:lang w:val="en-GB"/>
        </w:rPr>
        <w:t>but not</w:t>
      </w:r>
      <w:r w:rsidR="009B40BA" w:rsidRPr="00A858D5">
        <w:rPr>
          <w:lang w:val="en-GB"/>
        </w:rPr>
        <w:t xml:space="preserve"> from LMIC</w:t>
      </w:r>
      <w:r w:rsidR="007A0683" w:rsidRPr="00A858D5">
        <w:rPr>
          <w:lang w:val="en-GB"/>
        </w:rPr>
        <w:t>.</w:t>
      </w:r>
      <w:r w:rsidR="00E20A91" w:rsidRPr="00A858D5">
        <w:rPr>
          <w:lang w:val="en-GB"/>
        </w:rPr>
        <w:t xml:space="preserve"> For natural cause mortality</w:t>
      </w:r>
      <w:r w:rsidR="006642CA" w:rsidRPr="00A858D5">
        <w:rPr>
          <w:lang w:val="en-GB"/>
        </w:rPr>
        <w:t xml:space="preserve">, </w:t>
      </w:r>
      <w:r w:rsidR="00A46E6E" w:rsidRPr="00A858D5">
        <w:rPr>
          <w:lang w:val="en-GB"/>
        </w:rPr>
        <w:t>no</w:t>
      </w:r>
      <w:r w:rsidR="006642CA" w:rsidRPr="00A858D5">
        <w:rPr>
          <w:lang w:val="en-GB"/>
        </w:rPr>
        <w:t xml:space="preserve"> significant inverse associations</w:t>
      </w:r>
      <w:r w:rsidR="00B57D5E" w:rsidRPr="00A858D5">
        <w:rPr>
          <w:lang w:val="en-GB"/>
        </w:rPr>
        <w:t xml:space="preserve"> were found</w:t>
      </w:r>
      <w:r w:rsidR="006642CA" w:rsidRPr="00A858D5">
        <w:rPr>
          <w:lang w:val="en-GB"/>
        </w:rPr>
        <w:t xml:space="preserve"> </w:t>
      </w:r>
      <w:r w:rsidR="00467F03" w:rsidRPr="00A858D5">
        <w:rPr>
          <w:lang w:val="en-GB"/>
        </w:rPr>
        <w:t>in</w:t>
      </w:r>
      <w:r w:rsidR="006642CA" w:rsidRPr="00A858D5">
        <w:rPr>
          <w:lang w:val="en-GB"/>
        </w:rPr>
        <w:t xml:space="preserve"> residents </w:t>
      </w:r>
      <w:r w:rsidR="004F5E64" w:rsidRPr="00A858D5">
        <w:rPr>
          <w:lang w:val="en-GB"/>
        </w:rPr>
        <w:t xml:space="preserve">of </w:t>
      </w:r>
      <w:r w:rsidR="006642CA" w:rsidRPr="00A858D5">
        <w:rPr>
          <w:lang w:val="en-GB"/>
        </w:rPr>
        <w:t>LMIC</w:t>
      </w:r>
      <w:r w:rsidR="00B12716" w:rsidRPr="00A858D5">
        <w:rPr>
          <w:lang w:val="en-GB"/>
        </w:rPr>
        <w:t>-</w:t>
      </w:r>
      <w:r w:rsidR="006642CA" w:rsidRPr="00A858D5">
        <w:rPr>
          <w:lang w:val="en-GB"/>
        </w:rPr>
        <w:t>origin</w:t>
      </w:r>
      <w:r w:rsidR="00C33150" w:rsidRPr="00A858D5">
        <w:rPr>
          <w:lang w:val="en-GB"/>
        </w:rPr>
        <w:t xml:space="preserve"> neither in men nor in women</w:t>
      </w:r>
      <w:r w:rsidR="006642CA" w:rsidRPr="00A858D5">
        <w:rPr>
          <w:lang w:val="en-GB"/>
        </w:rPr>
        <w:t xml:space="preserve">. Among women, the strongest beneficial associations </w:t>
      </w:r>
      <w:r w:rsidR="00FA50B4" w:rsidRPr="00A858D5">
        <w:rPr>
          <w:lang w:val="en-GB"/>
        </w:rPr>
        <w:t xml:space="preserve">were found </w:t>
      </w:r>
      <w:r w:rsidR="00467F03" w:rsidRPr="00A858D5">
        <w:rPr>
          <w:lang w:val="en-GB"/>
        </w:rPr>
        <w:t>in</w:t>
      </w:r>
      <w:r w:rsidR="00FA50B4" w:rsidRPr="00A858D5">
        <w:rPr>
          <w:lang w:val="en-GB"/>
        </w:rPr>
        <w:t xml:space="preserve"> residents originating from HIC</w:t>
      </w:r>
      <w:r w:rsidR="00FF39A7" w:rsidRPr="00A858D5">
        <w:rPr>
          <w:lang w:val="en-GB"/>
        </w:rPr>
        <w:t xml:space="preserve"> [</w:t>
      </w:r>
      <w:r w:rsidR="00D72913" w:rsidRPr="00A858D5">
        <w:rPr>
          <w:lang w:val="en-GB"/>
        </w:rPr>
        <w:t>H</w:t>
      </w:r>
      <w:r w:rsidR="00FF39A7" w:rsidRPr="00A858D5">
        <w:rPr>
          <w:lang w:val="en-GB"/>
        </w:rPr>
        <w:t>R 0.87 (95%CI:</w:t>
      </w:r>
      <w:r w:rsidR="008E24C8" w:rsidRPr="00A858D5">
        <w:rPr>
          <w:lang w:val="en-GB"/>
        </w:rPr>
        <w:t xml:space="preserve"> 0.82, 0.94)</w:t>
      </w:r>
      <w:r w:rsidR="007C5135" w:rsidRPr="00A858D5">
        <w:rPr>
          <w:lang w:val="en-GB"/>
        </w:rPr>
        <w:t>]</w:t>
      </w:r>
      <w:r w:rsidR="00FA50B4" w:rsidRPr="00A858D5">
        <w:rPr>
          <w:lang w:val="en-GB"/>
        </w:rPr>
        <w:t xml:space="preserve">, </w:t>
      </w:r>
      <w:r w:rsidR="00E81E20" w:rsidRPr="00A858D5">
        <w:rPr>
          <w:lang w:val="en-GB"/>
        </w:rPr>
        <w:t>whereas</w:t>
      </w:r>
      <w:r w:rsidR="00723DCF" w:rsidRPr="00A858D5">
        <w:rPr>
          <w:lang w:val="en-GB"/>
        </w:rPr>
        <w:t xml:space="preserve"> among men these were found </w:t>
      </w:r>
      <w:r w:rsidR="00467F03" w:rsidRPr="00A858D5">
        <w:rPr>
          <w:lang w:val="en-GB"/>
        </w:rPr>
        <w:t>in</w:t>
      </w:r>
      <w:r w:rsidR="00723DCF" w:rsidRPr="00A858D5">
        <w:rPr>
          <w:lang w:val="en-GB"/>
        </w:rPr>
        <w:t xml:space="preserve"> residents </w:t>
      </w:r>
      <w:r w:rsidR="004F5E64" w:rsidRPr="00A858D5">
        <w:rPr>
          <w:lang w:val="en-GB"/>
        </w:rPr>
        <w:t xml:space="preserve">of </w:t>
      </w:r>
      <w:r w:rsidR="00723DCF" w:rsidRPr="00A858D5">
        <w:rPr>
          <w:lang w:val="en-GB"/>
        </w:rPr>
        <w:t>Belgian origin.</w:t>
      </w:r>
    </w:p>
    <w:p w14:paraId="2F6CF74B" w14:textId="2DE24E84" w:rsidR="003B0628" w:rsidRPr="00A858D5" w:rsidRDefault="003B0628" w:rsidP="00CB1162">
      <w:pPr>
        <w:rPr>
          <w:lang w:val="en-GB"/>
        </w:rPr>
      </w:pPr>
    </w:p>
    <w:p w14:paraId="5DEAE103" w14:textId="39EE2F9E" w:rsidR="003B0628" w:rsidRPr="00A858D5" w:rsidRDefault="0039102A" w:rsidP="00CB1162">
      <w:pPr>
        <w:rPr>
          <w:lang w:val="en-GB"/>
        </w:rPr>
      </w:pPr>
      <w:r w:rsidRPr="00A858D5">
        <w:rPr>
          <w:bCs/>
          <w:noProof/>
          <w:lang w:val="en-GB"/>
        </w:rPr>
        <w:lastRenderedPageBreak/>
        <w:drawing>
          <wp:inline distT="0" distB="0" distL="0" distR="0" wp14:anchorId="01A58496" wp14:editId="64B823CE">
            <wp:extent cx="5727700" cy="500204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727700" cy="5002041"/>
                    </a:xfrm>
                    <a:prstGeom prst="rect">
                      <a:avLst/>
                    </a:prstGeom>
                  </pic:spPr>
                </pic:pic>
              </a:graphicData>
            </a:graphic>
          </wp:inline>
        </w:drawing>
      </w:r>
    </w:p>
    <w:p w14:paraId="7AD08DF1" w14:textId="5E87E1B2" w:rsidR="003B0628" w:rsidRPr="00A858D5" w:rsidRDefault="003B0628" w:rsidP="00CB1162">
      <w:pPr>
        <w:rPr>
          <w:lang w:val="en-GB"/>
        </w:rPr>
      </w:pPr>
    </w:p>
    <w:p w14:paraId="1DEA60BA" w14:textId="3A69A96C" w:rsidR="0039102A" w:rsidRPr="00A858D5" w:rsidRDefault="00DD73FF" w:rsidP="00CB1162">
      <w:pPr>
        <w:rPr>
          <w:bCs/>
          <w:szCs w:val="26"/>
          <w:lang w:val="en-GB"/>
        </w:rPr>
      </w:pPr>
      <w:r w:rsidRPr="00A858D5">
        <w:rPr>
          <w:b/>
          <w:szCs w:val="26"/>
          <w:lang w:val="en-GB"/>
        </w:rPr>
        <w:t xml:space="preserve">Figure </w:t>
      </w:r>
      <w:r w:rsidR="00D81E10">
        <w:rPr>
          <w:b/>
          <w:szCs w:val="26"/>
          <w:lang w:val="en-GB"/>
        </w:rPr>
        <w:t>3</w:t>
      </w:r>
      <w:r w:rsidRPr="00A858D5">
        <w:rPr>
          <w:b/>
          <w:szCs w:val="26"/>
          <w:lang w:val="en-GB"/>
        </w:rPr>
        <w:t>.</w:t>
      </w:r>
      <w:r w:rsidRPr="00A858D5">
        <w:rPr>
          <w:bCs/>
          <w:szCs w:val="26"/>
          <w:lang w:val="en-GB"/>
        </w:rPr>
        <w:t xml:space="preserve"> Adjusted associations and 95%CI between IQR increments of residential surrounding greenness and poor self-perceived health (OR) and natural cause mortality (HR), stratified by (A) gender and educational attainment, (B) gender and migrant background. Brussels Capital Region, 2001-2014. Note: We used multilevel logistic regression models for the association with poor self-perceived health in 2001, and Cox proportional hazard models using age as the underlying time scale for the association with natural cause mortality during follow-up (2001-2014). Models were adjusted for age, migrant background, educational attainment, housing tenure, household living arrangement, PM</w:t>
      </w:r>
      <w:r w:rsidRPr="00A858D5">
        <w:rPr>
          <w:bCs/>
          <w:szCs w:val="26"/>
          <w:vertAlign w:val="subscript"/>
          <w:lang w:val="en-GB"/>
        </w:rPr>
        <w:t>2.5</w:t>
      </w:r>
      <w:r w:rsidRPr="00A858D5">
        <w:rPr>
          <w:bCs/>
          <w:szCs w:val="26"/>
          <w:lang w:val="en-GB"/>
        </w:rPr>
        <w:t xml:space="preserve"> and </w:t>
      </w:r>
      <w:proofErr w:type="spellStart"/>
      <w:r w:rsidRPr="00A858D5">
        <w:rPr>
          <w:bCs/>
          <w:szCs w:val="26"/>
          <w:lang w:val="en-GB"/>
        </w:rPr>
        <w:t>L</w:t>
      </w:r>
      <w:r w:rsidRPr="00A858D5">
        <w:rPr>
          <w:bCs/>
          <w:szCs w:val="26"/>
          <w:vertAlign w:val="subscript"/>
          <w:lang w:val="en-GB"/>
        </w:rPr>
        <w:t>den</w:t>
      </w:r>
      <w:proofErr w:type="spellEnd"/>
      <w:r w:rsidRPr="00A858D5">
        <w:rPr>
          <w:bCs/>
          <w:szCs w:val="26"/>
          <w:lang w:val="en-GB"/>
        </w:rPr>
        <w:t>, and area-level SEP.</w:t>
      </w:r>
    </w:p>
    <w:p w14:paraId="3DC23569" w14:textId="77777777" w:rsidR="0039102A" w:rsidRPr="00A858D5" w:rsidRDefault="0039102A" w:rsidP="00CB1162">
      <w:pPr>
        <w:rPr>
          <w:lang w:val="en-GB"/>
        </w:rPr>
      </w:pPr>
    </w:p>
    <w:p w14:paraId="71A32117" w14:textId="4048CF56" w:rsidR="001D0A86" w:rsidRDefault="003707E8" w:rsidP="00CB1162">
      <w:pPr>
        <w:rPr>
          <w:bCs/>
          <w:iCs/>
          <w:lang w:val="en-GB"/>
        </w:rPr>
      </w:pPr>
      <w:r w:rsidRPr="00A858D5">
        <w:rPr>
          <w:lang w:val="en-GB"/>
        </w:rPr>
        <w:t>I</w:t>
      </w:r>
      <w:r w:rsidR="00E3157C" w:rsidRPr="00A858D5">
        <w:rPr>
          <w:bCs/>
          <w:lang w:val="en-GB"/>
        </w:rPr>
        <w:t xml:space="preserve">ncluding the third-grade interaction terms </w:t>
      </w:r>
      <w:r w:rsidR="008B5B85" w:rsidRPr="00A858D5">
        <w:rPr>
          <w:bCs/>
          <w:lang w:val="en-GB"/>
        </w:rPr>
        <w:t>improved</w:t>
      </w:r>
      <w:r w:rsidR="00E3157C" w:rsidRPr="00A858D5">
        <w:rPr>
          <w:bCs/>
          <w:lang w:val="en-GB"/>
        </w:rPr>
        <w:t xml:space="preserve"> </w:t>
      </w:r>
      <w:r w:rsidR="008B5B85" w:rsidRPr="00A858D5">
        <w:rPr>
          <w:bCs/>
          <w:lang w:val="en-GB"/>
        </w:rPr>
        <w:t xml:space="preserve">the model </w:t>
      </w:r>
      <w:r w:rsidR="00E3157C" w:rsidRPr="00A858D5">
        <w:rPr>
          <w:bCs/>
          <w:lang w:val="en-GB"/>
        </w:rPr>
        <w:t>fit</w:t>
      </w:r>
      <w:r w:rsidR="0005733F" w:rsidRPr="00A858D5">
        <w:rPr>
          <w:bCs/>
          <w:lang w:val="en-GB"/>
        </w:rPr>
        <w:t xml:space="preserve"> when</w:t>
      </w:r>
      <w:r w:rsidR="00E81041" w:rsidRPr="00A858D5">
        <w:rPr>
          <w:bCs/>
          <w:lang w:val="en-GB"/>
        </w:rPr>
        <w:t xml:space="preserve"> compared to </w:t>
      </w:r>
      <w:r w:rsidR="009D7171" w:rsidRPr="00A858D5">
        <w:rPr>
          <w:bCs/>
          <w:lang w:val="en-GB"/>
        </w:rPr>
        <w:t>the second-grade interaction</w:t>
      </w:r>
      <w:r w:rsidR="0005733F" w:rsidRPr="00A858D5">
        <w:rPr>
          <w:bCs/>
          <w:lang w:val="en-GB"/>
        </w:rPr>
        <w:t xml:space="preserve"> models.</w:t>
      </w:r>
      <w:r w:rsidR="00881359" w:rsidRPr="00A858D5">
        <w:rPr>
          <w:lang w:val="en-GB"/>
        </w:rPr>
        <w:t xml:space="preserve"> </w:t>
      </w:r>
      <w:r w:rsidR="00E43B0A" w:rsidRPr="00A858D5">
        <w:rPr>
          <w:lang w:val="en-GB"/>
        </w:rPr>
        <w:t xml:space="preserve">The associations with surrounding greenness and perceived </w:t>
      </w:r>
      <w:r w:rsidR="009252CD" w:rsidRPr="00A858D5">
        <w:rPr>
          <w:lang w:val="en-GB"/>
        </w:rPr>
        <w:t>neighbourhood</w:t>
      </w:r>
      <w:r w:rsidR="00E43B0A" w:rsidRPr="00A858D5">
        <w:rPr>
          <w:lang w:val="en-GB"/>
        </w:rPr>
        <w:t xml:space="preserve"> greenness stratified</w:t>
      </w:r>
      <w:r w:rsidR="00856D1D" w:rsidRPr="00A858D5">
        <w:rPr>
          <w:lang w:val="en-GB"/>
        </w:rPr>
        <w:t xml:space="preserve"> </w:t>
      </w:r>
      <w:r w:rsidR="00E43B0A" w:rsidRPr="00A858D5">
        <w:rPr>
          <w:lang w:val="en-GB"/>
        </w:rPr>
        <w:t xml:space="preserve">by </w:t>
      </w:r>
      <w:r w:rsidR="00E43B0A" w:rsidRPr="00A858D5">
        <w:rPr>
          <w:bCs/>
          <w:iCs/>
          <w:lang w:val="en-GB"/>
        </w:rPr>
        <w:t xml:space="preserve">gender, educational attainment and migrant background </w:t>
      </w:r>
      <w:r w:rsidR="00AA7785" w:rsidRPr="00A858D5">
        <w:rPr>
          <w:bCs/>
          <w:iCs/>
          <w:lang w:val="en-GB"/>
        </w:rPr>
        <w:t>are displayed</w:t>
      </w:r>
      <w:r w:rsidR="00E43B0A" w:rsidRPr="00A858D5">
        <w:rPr>
          <w:bCs/>
          <w:iCs/>
          <w:lang w:val="en-GB"/>
        </w:rPr>
        <w:t xml:space="preserve"> for poor self-perceived health in Table </w:t>
      </w:r>
      <w:r w:rsidR="00405DE6" w:rsidRPr="00A858D5">
        <w:rPr>
          <w:bCs/>
          <w:iCs/>
          <w:lang w:val="en-GB"/>
        </w:rPr>
        <w:t>3</w:t>
      </w:r>
      <w:r w:rsidR="00E43B0A" w:rsidRPr="00A858D5">
        <w:rPr>
          <w:bCs/>
          <w:iCs/>
          <w:lang w:val="en-GB"/>
        </w:rPr>
        <w:t xml:space="preserve"> and for natural cause mortality in Table </w:t>
      </w:r>
      <w:r w:rsidR="00F37007" w:rsidRPr="00A858D5">
        <w:rPr>
          <w:bCs/>
          <w:iCs/>
          <w:lang w:val="en-GB"/>
        </w:rPr>
        <w:t>4</w:t>
      </w:r>
      <w:r w:rsidR="00A70E07" w:rsidRPr="00A858D5">
        <w:rPr>
          <w:bCs/>
          <w:iCs/>
          <w:lang w:val="en-GB"/>
        </w:rPr>
        <w:t>.</w:t>
      </w:r>
      <w:r w:rsidR="00401476" w:rsidRPr="00A858D5">
        <w:rPr>
          <w:bCs/>
          <w:iCs/>
          <w:lang w:val="en-GB"/>
        </w:rPr>
        <w:t xml:space="preserve"> </w:t>
      </w:r>
      <w:r w:rsidR="00513AE6" w:rsidRPr="00A858D5">
        <w:rPr>
          <w:bCs/>
          <w:iCs/>
          <w:lang w:val="en-GB"/>
        </w:rPr>
        <w:t>The results</w:t>
      </w:r>
      <w:r w:rsidR="008A6572" w:rsidRPr="00A858D5">
        <w:rPr>
          <w:bCs/>
          <w:iCs/>
          <w:lang w:val="en-GB"/>
        </w:rPr>
        <w:t xml:space="preserve"> </w:t>
      </w:r>
      <w:r w:rsidR="001C2E42" w:rsidRPr="00A858D5">
        <w:rPr>
          <w:bCs/>
          <w:iCs/>
          <w:lang w:val="en-GB"/>
        </w:rPr>
        <w:t xml:space="preserve">for </w:t>
      </w:r>
      <w:r w:rsidR="008A6572" w:rsidRPr="00A858D5">
        <w:rPr>
          <w:bCs/>
          <w:iCs/>
          <w:lang w:val="en-GB"/>
        </w:rPr>
        <w:t>both health outcomes were similar</w:t>
      </w:r>
      <w:r w:rsidR="00D32EEA" w:rsidRPr="00A858D5">
        <w:rPr>
          <w:bCs/>
          <w:iCs/>
          <w:lang w:val="en-GB"/>
        </w:rPr>
        <w:t xml:space="preserve"> using both UGS indicators.</w:t>
      </w:r>
      <w:r w:rsidR="00513AE6" w:rsidRPr="00A858D5">
        <w:rPr>
          <w:bCs/>
          <w:iCs/>
          <w:lang w:val="en-GB"/>
        </w:rPr>
        <w:t xml:space="preserve"> </w:t>
      </w:r>
      <w:r w:rsidR="00D32EEA" w:rsidRPr="00A858D5">
        <w:rPr>
          <w:bCs/>
          <w:iCs/>
          <w:lang w:val="en-GB"/>
        </w:rPr>
        <w:t>F</w:t>
      </w:r>
      <w:r w:rsidR="00FD4A00" w:rsidRPr="00A858D5">
        <w:rPr>
          <w:bCs/>
          <w:iCs/>
          <w:lang w:val="en-GB"/>
        </w:rPr>
        <w:t>or poor self-perceived health</w:t>
      </w:r>
      <w:r w:rsidR="00A330F3" w:rsidRPr="00A858D5">
        <w:rPr>
          <w:bCs/>
          <w:iCs/>
          <w:lang w:val="en-GB"/>
        </w:rPr>
        <w:t xml:space="preserve"> and among women</w:t>
      </w:r>
      <w:r w:rsidR="00FD4A00" w:rsidRPr="00A858D5">
        <w:rPr>
          <w:bCs/>
          <w:iCs/>
          <w:lang w:val="en-GB"/>
        </w:rPr>
        <w:t>,</w:t>
      </w:r>
      <w:r w:rsidR="00F54F02" w:rsidRPr="00A858D5">
        <w:rPr>
          <w:bCs/>
          <w:iCs/>
          <w:lang w:val="en-GB"/>
        </w:rPr>
        <w:t xml:space="preserve"> </w:t>
      </w:r>
      <w:r w:rsidR="004A09A9" w:rsidRPr="00A858D5">
        <w:rPr>
          <w:bCs/>
          <w:iCs/>
          <w:lang w:val="en-GB"/>
        </w:rPr>
        <w:t xml:space="preserve">we found </w:t>
      </w:r>
      <w:r w:rsidR="00A330F3" w:rsidRPr="00A858D5">
        <w:rPr>
          <w:bCs/>
          <w:iCs/>
          <w:lang w:val="en-GB"/>
        </w:rPr>
        <w:t xml:space="preserve">significant inverse associations </w:t>
      </w:r>
      <w:r w:rsidR="00844F97" w:rsidRPr="00A858D5">
        <w:rPr>
          <w:bCs/>
          <w:iCs/>
          <w:lang w:val="en-GB"/>
        </w:rPr>
        <w:t>only in</w:t>
      </w:r>
      <w:r w:rsidR="00A330F3" w:rsidRPr="00A858D5">
        <w:rPr>
          <w:bCs/>
          <w:iCs/>
          <w:lang w:val="en-GB"/>
        </w:rPr>
        <w:t xml:space="preserve"> the lower educated,</w:t>
      </w:r>
      <w:r w:rsidR="00BC1340" w:rsidRPr="00A858D5">
        <w:rPr>
          <w:bCs/>
          <w:iCs/>
          <w:lang w:val="en-GB"/>
        </w:rPr>
        <w:t xml:space="preserve"> regardless of their migrant background</w:t>
      </w:r>
      <w:r w:rsidR="006771CE" w:rsidRPr="00A858D5">
        <w:rPr>
          <w:bCs/>
          <w:iCs/>
          <w:lang w:val="en-GB"/>
        </w:rPr>
        <w:t xml:space="preserve"> [e.g.</w:t>
      </w:r>
      <w:r w:rsidR="001E41DE">
        <w:rPr>
          <w:bCs/>
          <w:iCs/>
          <w:lang w:val="en-GB"/>
        </w:rPr>
        <w:t>,</w:t>
      </w:r>
      <w:r w:rsidR="006771CE" w:rsidRPr="00A858D5">
        <w:rPr>
          <w:bCs/>
          <w:iCs/>
          <w:lang w:val="en-GB"/>
        </w:rPr>
        <w:t xml:space="preserve"> for surrounding greenness and LMIC-origin: OR 0.92 (95%CI:</w:t>
      </w:r>
      <w:r w:rsidR="00233FC4" w:rsidRPr="00A858D5">
        <w:rPr>
          <w:bCs/>
          <w:iCs/>
          <w:lang w:val="en-GB"/>
        </w:rPr>
        <w:t xml:space="preserve"> 0.86, 0.98)]</w:t>
      </w:r>
      <w:r w:rsidR="00BC1340" w:rsidRPr="00A858D5">
        <w:rPr>
          <w:bCs/>
          <w:iCs/>
          <w:lang w:val="en-GB"/>
        </w:rPr>
        <w:t xml:space="preserve">. </w:t>
      </w:r>
      <w:r w:rsidR="008B0626" w:rsidRPr="00A858D5">
        <w:rPr>
          <w:bCs/>
          <w:iCs/>
          <w:lang w:val="en-GB"/>
        </w:rPr>
        <w:t xml:space="preserve">Among men, the strongest </w:t>
      </w:r>
      <w:r w:rsidR="00643B41" w:rsidRPr="00A858D5">
        <w:rPr>
          <w:bCs/>
          <w:iCs/>
          <w:lang w:val="en-GB"/>
        </w:rPr>
        <w:t xml:space="preserve">beneficial </w:t>
      </w:r>
      <w:r w:rsidR="008B0626" w:rsidRPr="00A858D5">
        <w:rPr>
          <w:bCs/>
          <w:iCs/>
          <w:lang w:val="en-GB"/>
        </w:rPr>
        <w:t>associations were found in the tertiary educated</w:t>
      </w:r>
      <w:r w:rsidR="000327BE" w:rsidRPr="00A858D5">
        <w:rPr>
          <w:bCs/>
          <w:iCs/>
          <w:lang w:val="en-GB"/>
        </w:rPr>
        <w:t xml:space="preserve"> in every migrant background</w:t>
      </w:r>
      <w:r w:rsidR="00785DC5" w:rsidRPr="00A858D5">
        <w:rPr>
          <w:bCs/>
          <w:iCs/>
          <w:lang w:val="en-GB"/>
        </w:rPr>
        <w:t xml:space="preserve">; however, </w:t>
      </w:r>
      <w:r w:rsidR="000327BE" w:rsidRPr="00A858D5">
        <w:rPr>
          <w:bCs/>
          <w:iCs/>
          <w:lang w:val="en-GB"/>
        </w:rPr>
        <w:t>these associations were only significant in men originating from Belgium</w:t>
      </w:r>
      <w:r w:rsidR="00D234FB" w:rsidRPr="00A858D5">
        <w:rPr>
          <w:bCs/>
          <w:iCs/>
          <w:lang w:val="en-GB"/>
        </w:rPr>
        <w:t xml:space="preserve"> and </w:t>
      </w:r>
      <w:r w:rsidR="00100F05" w:rsidRPr="00A858D5">
        <w:rPr>
          <w:bCs/>
          <w:iCs/>
          <w:lang w:val="en-GB"/>
        </w:rPr>
        <w:lastRenderedPageBreak/>
        <w:t>from other HIC</w:t>
      </w:r>
      <w:r w:rsidR="000327BE" w:rsidRPr="00A858D5">
        <w:rPr>
          <w:bCs/>
          <w:iCs/>
          <w:lang w:val="en-GB"/>
        </w:rPr>
        <w:t xml:space="preserve">. </w:t>
      </w:r>
      <w:r w:rsidR="00C66E60" w:rsidRPr="00A858D5">
        <w:rPr>
          <w:bCs/>
          <w:iCs/>
          <w:lang w:val="en-GB"/>
        </w:rPr>
        <w:t>Among</w:t>
      </w:r>
      <w:r w:rsidR="00643B41" w:rsidRPr="00A858D5">
        <w:rPr>
          <w:bCs/>
          <w:iCs/>
          <w:lang w:val="en-GB"/>
        </w:rPr>
        <w:t xml:space="preserve"> </w:t>
      </w:r>
      <w:r w:rsidR="00100F05" w:rsidRPr="00A858D5">
        <w:rPr>
          <w:bCs/>
          <w:iCs/>
          <w:lang w:val="en-GB"/>
        </w:rPr>
        <w:t xml:space="preserve">men </w:t>
      </w:r>
      <w:r w:rsidR="006B22CD" w:rsidRPr="00A858D5">
        <w:rPr>
          <w:bCs/>
          <w:iCs/>
          <w:lang w:val="en-GB"/>
        </w:rPr>
        <w:t>of</w:t>
      </w:r>
      <w:r w:rsidR="00100F05" w:rsidRPr="00A858D5">
        <w:rPr>
          <w:bCs/>
          <w:iCs/>
          <w:lang w:val="en-GB"/>
        </w:rPr>
        <w:t xml:space="preserve"> Belgian origin</w:t>
      </w:r>
      <w:r w:rsidR="00643B41" w:rsidRPr="00A858D5">
        <w:rPr>
          <w:bCs/>
          <w:iCs/>
          <w:lang w:val="en-GB"/>
        </w:rPr>
        <w:t>, significant a</w:t>
      </w:r>
      <w:r w:rsidR="00644D23" w:rsidRPr="00A858D5">
        <w:rPr>
          <w:bCs/>
          <w:iCs/>
          <w:lang w:val="en-GB"/>
        </w:rPr>
        <w:t>ssociation</w:t>
      </w:r>
      <w:r w:rsidR="00F34FBF" w:rsidRPr="00A858D5">
        <w:rPr>
          <w:bCs/>
          <w:iCs/>
          <w:lang w:val="en-GB"/>
        </w:rPr>
        <w:t>s</w:t>
      </w:r>
      <w:r w:rsidR="00644D23" w:rsidRPr="00A858D5">
        <w:rPr>
          <w:bCs/>
          <w:iCs/>
          <w:lang w:val="en-GB"/>
        </w:rPr>
        <w:t xml:space="preserve"> </w:t>
      </w:r>
      <w:r w:rsidR="00643B41" w:rsidRPr="00A858D5">
        <w:rPr>
          <w:bCs/>
          <w:iCs/>
          <w:lang w:val="en-GB"/>
        </w:rPr>
        <w:t>were</w:t>
      </w:r>
      <w:r w:rsidR="00644D23" w:rsidRPr="00A858D5">
        <w:rPr>
          <w:bCs/>
          <w:iCs/>
          <w:lang w:val="en-GB"/>
        </w:rPr>
        <w:t xml:space="preserve"> also found in</w:t>
      </w:r>
      <w:r w:rsidR="00643B41" w:rsidRPr="00A858D5">
        <w:rPr>
          <w:bCs/>
          <w:iCs/>
          <w:lang w:val="en-GB"/>
        </w:rPr>
        <w:t xml:space="preserve"> the</w:t>
      </w:r>
      <w:r w:rsidR="00644D23" w:rsidRPr="00A858D5">
        <w:rPr>
          <w:bCs/>
          <w:iCs/>
          <w:lang w:val="en-GB"/>
        </w:rPr>
        <w:t xml:space="preserve"> low</w:t>
      </w:r>
      <w:r w:rsidR="004E2B28" w:rsidRPr="00A858D5">
        <w:rPr>
          <w:bCs/>
          <w:iCs/>
          <w:lang w:val="en-GB"/>
        </w:rPr>
        <w:t xml:space="preserve">er </w:t>
      </w:r>
      <w:r w:rsidR="00644D23" w:rsidRPr="00A858D5">
        <w:rPr>
          <w:bCs/>
          <w:iCs/>
          <w:lang w:val="en-GB"/>
        </w:rPr>
        <w:t>educated</w:t>
      </w:r>
      <w:r w:rsidR="008B0626" w:rsidRPr="00A858D5">
        <w:rPr>
          <w:bCs/>
          <w:iCs/>
          <w:lang w:val="en-GB"/>
        </w:rPr>
        <w:t>.</w:t>
      </w:r>
      <w:r w:rsidR="0055224D" w:rsidRPr="00A858D5">
        <w:rPr>
          <w:bCs/>
          <w:iCs/>
          <w:lang w:val="en-GB"/>
        </w:rPr>
        <w:t xml:space="preserve"> </w:t>
      </w:r>
      <w:r w:rsidR="005F521D" w:rsidRPr="00A858D5">
        <w:rPr>
          <w:bCs/>
          <w:iCs/>
          <w:lang w:val="en-GB"/>
        </w:rPr>
        <w:t xml:space="preserve">For natural cause mortality, </w:t>
      </w:r>
      <w:r w:rsidR="00CB0057" w:rsidRPr="00A858D5">
        <w:rPr>
          <w:bCs/>
          <w:iCs/>
          <w:lang w:val="en-GB"/>
        </w:rPr>
        <w:t>the</w:t>
      </w:r>
      <w:r w:rsidR="00E75C62" w:rsidRPr="00A858D5">
        <w:rPr>
          <w:bCs/>
          <w:iCs/>
          <w:lang w:val="en-GB"/>
        </w:rPr>
        <w:t xml:space="preserve"> </w:t>
      </w:r>
      <w:r w:rsidR="00A219C4" w:rsidRPr="00A858D5">
        <w:rPr>
          <w:bCs/>
          <w:iCs/>
          <w:lang w:val="en-GB"/>
        </w:rPr>
        <w:t>r</w:t>
      </w:r>
      <w:r w:rsidR="00072DE0" w:rsidRPr="00A858D5">
        <w:rPr>
          <w:bCs/>
          <w:iCs/>
          <w:lang w:val="en-GB"/>
        </w:rPr>
        <w:t xml:space="preserve">esults for residents </w:t>
      </w:r>
      <w:r w:rsidR="008D538E" w:rsidRPr="00A858D5">
        <w:rPr>
          <w:bCs/>
          <w:iCs/>
          <w:lang w:val="en-GB"/>
        </w:rPr>
        <w:t xml:space="preserve">of </w:t>
      </w:r>
      <w:r w:rsidR="00072DE0" w:rsidRPr="00A858D5">
        <w:rPr>
          <w:bCs/>
          <w:iCs/>
          <w:lang w:val="en-GB"/>
        </w:rPr>
        <w:t>Belgi</w:t>
      </w:r>
      <w:r w:rsidR="00CB0057" w:rsidRPr="00A858D5">
        <w:rPr>
          <w:bCs/>
          <w:iCs/>
          <w:lang w:val="en-GB"/>
        </w:rPr>
        <w:t xml:space="preserve">an origin were </w:t>
      </w:r>
      <w:proofErr w:type="gramStart"/>
      <w:r w:rsidR="00CB0057" w:rsidRPr="00A858D5">
        <w:rPr>
          <w:bCs/>
          <w:iCs/>
          <w:lang w:val="en-GB"/>
        </w:rPr>
        <w:t>similar</w:t>
      </w:r>
      <w:r w:rsidR="00072DE0" w:rsidRPr="00A858D5">
        <w:rPr>
          <w:bCs/>
          <w:iCs/>
          <w:lang w:val="en-GB"/>
        </w:rPr>
        <w:t xml:space="preserve"> to</w:t>
      </w:r>
      <w:proofErr w:type="gramEnd"/>
      <w:r w:rsidR="00072DE0" w:rsidRPr="00A858D5">
        <w:rPr>
          <w:bCs/>
          <w:iCs/>
          <w:lang w:val="en-GB"/>
        </w:rPr>
        <w:t xml:space="preserve"> those </w:t>
      </w:r>
      <w:r w:rsidR="000C5042" w:rsidRPr="00A858D5">
        <w:rPr>
          <w:bCs/>
          <w:iCs/>
          <w:lang w:val="en-GB"/>
        </w:rPr>
        <w:t>shown</w:t>
      </w:r>
      <w:r w:rsidR="00072DE0" w:rsidRPr="00A858D5">
        <w:rPr>
          <w:bCs/>
          <w:iCs/>
          <w:lang w:val="en-GB"/>
        </w:rPr>
        <w:t xml:space="preserve"> in Figure 2</w:t>
      </w:r>
      <w:r w:rsidR="001271A6" w:rsidRPr="00A858D5">
        <w:rPr>
          <w:bCs/>
          <w:iCs/>
          <w:lang w:val="en-GB"/>
        </w:rPr>
        <w:t xml:space="preserve">: among women, the strongest associations were found </w:t>
      </w:r>
      <w:r w:rsidR="00F23197" w:rsidRPr="00A858D5">
        <w:rPr>
          <w:bCs/>
          <w:iCs/>
          <w:lang w:val="en-GB"/>
        </w:rPr>
        <w:t>in</w:t>
      </w:r>
      <w:r w:rsidR="001271A6" w:rsidRPr="00A858D5">
        <w:rPr>
          <w:bCs/>
          <w:iCs/>
          <w:lang w:val="en-GB"/>
        </w:rPr>
        <w:t xml:space="preserve"> the </w:t>
      </w:r>
      <w:r w:rsidR="008874F8" w:rsidRPr="00A858D5">
        <w:rPr>
          <w:bCs/>
          <w:iCs/>
          <w:lang w:val="en-GB"/>
        </w:rPr>
        <w:t xml:space="preserve">lower educated, although with surrounding greenness there </w:t>
      </w:r>
      <w:r w:rsidR="006E2AEE" w:rsidRPr="00A858D5">
        <w:rPr>
          <w:bCs/>
          <w:iCs/>
          <w:lang w:val="en-GB"/>
        </w:rPr>
        <w:t>was</w:t>
      </w:r>
      <w:r w:rsidR="008874F8" w:rsidRPr="00A858D5">
        <w:rPr>
          <w:bCs/>
          <w:iCs/>
          <w:lang w:val="en-GB"/>
        </w:rPr>
        <w:t xml:space="preserve"> also a </w:t>
      </w:r>
      <w:r w:rsidR="00717C35" w:rsidRPr="00A858D5">
        <w:rPr>
          <w:bCs/>
          <w:iCs/>
          <w:lang w:val="en-GB"/>
        </w:rPr>
        <w:t xml:space="preserve">strong </w:t>
      </w:r>
      <w:r w:rsidR="008874F8" w:rsidRPr="00A858D5">
        <w:rPr>
          <w:bCs/>
          <w:iCs/>
          <w:lang w:val="en-GB"/>
        </w:rPr>
        <w:t>protective effect</w:t>
      </w:r>
      <w:r w:rsidR="00F23197" w:rsidRPr="00A858D5">
        <w:rPr>
          <w:bCs/>
          <w:iCs/>
          <w:lang w:val="en-GB"/>
        </w:rPr>
        <w:t xml:space="preserve"> in the tertiary educated; among men, </w:t>
      </w:r>
      <w:r w:rsidR="003473F2" w:rsidRPr="00A858D5">
        <w:rPr>
          <w:bCs/>
          <w:iCs/>
          <w:lang w:val="en-GB"/>
        </w:rPr>
        <w:t xml:space="preserve">we observed </w:t>
      </w:r>
      <w:r w:rsidR="00F23197" w:rsidRPr="00A858D5">
        <w:rPr>
          <w:bCs/>
          <w:iCs/>
          <w:lang w:val="en-GB"/>
        </w:rPr>
        <w:t>the strongest inverse associations among the tertiary educated.</w:t>
      </w:r>
      <w:r w:rsidR="002D26DD" w:rsidRPr="00A858D5">
        <w:rPr>
          <w:bCs/>
          <w:iCs/>
          <w:lang w:val="en-GB"/>
        </w:rPr>
        <w:t xml:space="preserve"> </w:t>
      </w:r>
      <w:r w:rsidR="00FB7015" w:rsidRPr="00A858D5">
        <w:rPr>
          <w:bCs/>
          <w:iCs/>
          <w:lang w:val="en-GB"/>
        </w:rPr>
        <w:t>A</w:t>
      </w:r>
      <w:r w:rsidR="002D26DD" w:rsidRPr="00A858D5">
        <w:rPr>
          <w:bCs/>
          <w:iCs/>
          <w:lang w:val="en-GB"/>
        </w:rPr>
        <w:t xml:space="preserve"> </w:t>
      </w:r>
      <w:r w:rsidR="00F16230" w:rsidRPr="00A858D5">
        <w:rPr>
          <w:bCs/>
          <w:iCs/>
          <w:lang w:val="en-GB"/>
        </w:rPr>
        <w:t>strong</w:t>
      </w:r>
      <w:r w:rsidR="002D26DD" w:rsidRPr="00A858D5">
        <w:rPr>
          <w:bCs/>
          <w:iCs/>
          <w:lang w:val="en-GB"/>
        </w:rPr>
        <w:t xml:space="preserve"> inverse association</w:t>
      </w:r>
      <w:r w:rsidR="00B629BA" w:rsidRPr="00A858D5">
        <w:rPr>
          <w:bCs/>
          <w:iCs/>
          <w:lang w:val="en-GB"/>
        </w:rPr>
        <w:t xml:space="preserve"> </w:t>
      </w:r>
      <w:r w:rsidR="006B6072" w:rsidRPr="00A858D5">
        <w:rPr>
          <w:bCs/>
          <w:iCs/>
          <w:lang w:val="en-GB"/>
        </w:rPr>
        <w:t>was found</w:t>
      </w:r>
      <w:r w:rsidR="002D26DD" w:rsidRPr="00A858D5">
        <w:rPr>
          <w:bCs/>
          <w:iCs/>
          <w:lang w:val="en-GB"/>
        </w:rPr>
        <w:t xml:space="preserve"> </w:t>
      </w:r>
      <w:r w:rsidR="00EB7509" w:rsidRPr="00A858D5">
        <w:rPr>
          <w:bCs/>
          <w:iCs/>
          <w:lang w:val="en-GB"/>
        </w:rPr>
        <w:t xml:space="preserve">in higher secondary </w:t>
      </w:r>
      <w:r w:rsidR="006B6072" w:rsidRPr="00A858D5">
        <w:rPr>
          <w:bCs/>
          <w:iCs/>
          <w:lang w:val="en-GB"/>
        </w:rPr>
        <w:t>educated women originating from other HIC</w:t>
      </w:r>
      <w:r w:rsidR="00EB7509" w:rsidRPr="00A858D5">
        <w:rPr>
          <w:bCs/>
          <w:iCs/>
          <w:lang w:val="en-GB"/>
        </w:rPr>
        <w:t xml:space="preserve"> [</w:t>
      </w:r>
      <w:r w:rsidR="001C2E42" w:rsidRPr="00A858D5">
        <w:rPr>
          <w:bCs/>
          <w:iCs/>
          <w:lang w:val="en-GB"/>
        </w:rPr>
        <w:t>for surrounding greenness: HR 0.82 (95%CI: 0.70, 0.96)].</w:t>
      </w:r>
      <w:r w:rsidR="000C5042" w:rsidRPr="00A858D5">
        <w:rPr>
          <w:bCs/>
          <w:iCs/>
          <w:lang w:val="en-GB"/>
        </w:rPr>
        <w:t xml:space="preserve"> </w:t>
      </w:r>
      <w:r w:rsidR="00A961F8" w:rsidRPr="00A858D5">
        <w:rPr>
          <w:bCs/>
          <w:iCs/>
          <w:lang w:val="en-GB"/>
        </w:rPr>
        <w:t>The results</w:t>
      </w:r>
      <w:r w:rsidR="004765D7" w:rsidRPr="00A858D5">
        <w:rPr>
          <w:bCs/>
          <w:iCs/>
          <w:lang w:val="en-GB"/>
        </w:rPr>
        <w:t xml:space="preserve"> for mortality</w:t>
      </w:r>
      <w:r w:rsidR="00A961F8" w:rsidRPr="00A858D5">
        <w:rPr>
          <w:bCs/>
          <w:iCs/>
          <w:lang w:val="en-GB"/>
        </w:rPr>
        <w:t xml:space="preserve"> in</w:t>
      </w:r>
      <w:r w:rsidR="000C5042" w:rsidRPr="00A858D5">
        <w:rPr>
          <w:bCs/>
          <w:iCs/>
          <w:lang w:val="en-GB"/>
        </w:rPr>
        <w:t xml:space="preserve"> residents </w:t>
      </w:r>
      <w:r w:rsidR="008D538E" w:rsidRPr="00A858D5">
        <w:rPr>
          <w:bCs/>
          <w:iCs/>
          <w:lang w:val="en-GB"/>
        </w:rPr>
        <w:t xml:space="preserve">of </w:t>
      </w:r>
      <w:r w:rsidR="000C5042" w:rsidRPr="00A858D5">
        <w:rPr>
          <w:bCs/>
          <w:iCs/>
          <w:lang w:val="en-GB"/>
        </w:rPr>
        <w:t>LMIC-origin</w:t>
      </w:r>
      <w:r w:rsidR="00A961F8" w:rsidRPr="00A858D5">
        <w:rPr>
          <w:bCs/>
          <w:iCs/>
          <w:lang w:val="en-GB"/>
        </w:rPr>
        <w:t xml:space="preserve"> </w:t>
      </w:r>
      <w:r w:rsidR="00466189" w:rsidRPr="00A858D5">
        <w:rPr>
          <w:bCs/>
          <w:iCs/>
          <w:lang w:val="en-GB"/>
        </w:rPr>
        <w:t>were not significant</w:t>
      </w:r>
      <w:r w:rsidR="000C5042" w:rsidRPr="00A858D5">
        <w:rPr>
          <w:bCs/>
          <w:iCs/>
          <w:lang w:val="en-GB"/>
        </w:rPr>
        <w:t>.</w:t>
      </w:r>
    </w:p>
    <w:p w14:paraId="1FF8D584" w14:textId="50267126" w:rsidR="00DD73FF" w:rsidRPr="00A858D5" w:rsidRDefault="00DD73FF" w:rsidP="00CB1162">
      <w:pPr>
        <w:rPr>
          <w:bCs/>
          <w:iCs/>
          <w:lang w:val="en-GB"/>
        </w:rPr>
      </w:pPr>
    </w:p>
    <w:p w14:paraId="22CAE7AE" w14:textId="77777777" w:rsidR="00DD73FF" w:rsidRPr="00A858D5" w:rsidRDefault="00DD73FF" w:rsidP="00CB1162">
      <w:pPr>
        <w:rPr>
          <w:bCs/>
          <w:iCs/>
          <w:lang w:val="en-GB"/>
        </w:rPr>
        <w:sectPr w:rsidR="00DD73FF" w:rsidRPr="00A858D5" w:rsidSect="0012127E">
          <w:pgSz w:w="11900" w:h="16840"/>
          <w:pgMar w:top="1440" w:right="1440" w:bottom="1440" w:left="1440" w:header="708" w:footer="708" w:gutter="0"/>
          <w:cols w:space="708"/>
          <w:docGrid w:linePitch="360"/>
        </w:sectPr>
      </w:pPr>
    </w:p>
    <w:p w14:paraId="29EE0B0E" w14:textId="77777777" w:rsidR="00DD73FF" w:rsidRPr="00A858D5" w:rsidRDefault="00DD73FF" w:rsidP="00DD73FF">
      <w:pPr>
        <w:rPr>
          <w:lang w:val="en-GB"/>
        </w:rPr>
      </w:pPr>
    </w:p>
    <w:tbl>
      <w:tblPr>
        <w:tblW w:w="5000" w:type="pct"/>
        <w:tblLook w:val="04A0" w:firstRow="1" w:lastRow="0" w:firstColumn="1" w:lastColumn="0" w:noHBand="0" w:noVBand="1"/>
      </w:tblPr>
      <w:tblGrid>
        <w:gridCol w:w="333"/>
        <w:gridCol w:w="333"/>
        <w:gridCol w:w="332"/>
        <w:gridCol w:w="3286"/>
        <w:gridCol w:w="1005"/>
        <w:gridCol w:w="2222"/>
        <w:gridCol w:w="1005"/>
        <w:gridCol w:w="2222"/>
        <w:gridCol w:w="1005"/>
        <w:gridCol w:w="2217"/>
      </w:tblGrid>
      <w:tr w:rsidR="00DD73FF" w:rsidRPr="00A858D5" w14:paraId="7E1D1F7B" w14:textId="77777777" w:rsidTr="001745CB">
        <w:trPr>
          <w:trHeight w:val="320"/>
        </w:trPr>
        <w:tc>
          <w:tcPr>
            <w:tcW w:w="119" w:type="pct"/>
            <w:tcBorders>
              <w:top w:val="single" w:sz="4" w:space="0" w:color="auto"/>
              <w:left w:val="nil"/>
              <w:bottom w:val="single" w:sz="4" w:space="0" w:color="auto"/>
              <w:right w:val="nil"/>
            </w:tcBorders>
            <w:shd w:val="clear" w:color="auto" w:fill="auto"/>
            <w:noWrap/>
            <w:vAlign w:val="bottom"/>
            <w:hideMark/>
          </w:tcPr>
          <w:p w14:paraId="2C2AD62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single" w:sz="4" w:space="0" w:color="auto"/>
              <w:left w:val="nil"/>
              <w:bottom w:val="single" w:sz="4" w:space="0" w:color="auto"/>
              <w:right w:val="nil"/>
            </w:tcBorders>
            <w:shd w:val="clear" w:color="auto" w:fill="auto"/>
            <w:noWrap/>
            <w:vAlign w:val="bottom"/>
            <w:hideMark/>
          </w:tcPr>
          <w:p w14:paraId="026572C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single" w:sz="4" w:space="0" w:color="auto"/>
              <w:left w:val="nil"/>
              <w:bottom w:val="single" w:sz="4" w:space="0" w:color="auto"/>
              <w:right w:val="nil"/>
            </w:tcBorders>
            <w:shd w:val="clear" w:color="auto" w:fill="auto"/>
            <w:noWrap/>
            <w:vAlign w:val="bottom"/>
            <w:hideMark/>
          </w:tcPr>
          <w:p w14:paraId="08F00386"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77" w:type="pct"/>
            <w:tcBorders>
              <w:top w:val="single" w:sz="4" w:space="0" w:color="auto"/>
              <w:left w:val="nil"/>
              <w:bottom w:val="single" w:sz="4" w:space="0" w:color="auto"/>
              <w:right w:val="nil"/>
            </w:tcBorders>
            <w:shd w:val="clear" w:color="auto" w:fill="auto"/>
            <w:noWrap/>
            <w:vAlign w:val="bottom"/>
            <w:hideMark/>
          </w:tcPr>
          <w:p w14:paraId="7AC3E200"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467" w:type="pct"/>
            <w:gridSpan w:val="6"/>
            <w:tcBorders>
              <w:top w:val="single" w:sz="4" w:space="0" w:color="auto"/>
              <w:left w:val="nil"/>
              <w:bottom w:val="single" w:sz="4" w:space="0" w:color="auto"/>
              <w:right w:val="nil"/>
            </w:tcBorders>
            <w:shd w:val="clear" w:color="auto" w:fill="auto"/>
            <w:noWrap/>
            <w:vAlign w:val="center"/>
            <w:hideMark/>
          </w:tcPr>
          <w:p w14:paraId="47C22548"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Poor self-perceived health</w:t>
            </w:r>
          </w:p>
        </w:tc>
      </w:tr>
      <w:tr w:rsidR="00DD73FF" w:rsidRPr="00A858D5" w14:paraId="16CF0983" w14:textId="77777777" w:rsidTr="001745CB">
        <w:trPr>
          <w:trHeight w:val="320"/>
        </w:trPr>
        <w:tc>
          <w:tcPr>
            <w:tcW w:w="119" w:type="pct"/>
            <w:tcBorders>
              <w:top w:val="nil"/>
              <w:left w:val="nil"/>
              <w:bottom w:val="single" w:sz="4" w:space="0" w:color="auto"/>
              <w:right w:val="nil"/>
            </w:tcBorders>
            <w:shd w:val="clear" w:color="auto" w:fill="auto"/>
            <w:noWrap/>
            <w:vAlign w:val="bottom"/>
            <w:hideMark/>
          </w:tcPr>
          <w:p w14:paraId="3E4DBA3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bottom"/>
            <w:hideMark/>
          </w:tcPr>
          <w:p w14:paraId="46ED34EE"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bottom"/>
            <w:hideMark/>
          </w:tcPr>
          <w:p w14:paraId="151478B6"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77" w:type="pct"/>
            <w:tcBorders>
              <w:top w:val="nil"/>
              <w:left w:val="nil"/>
              <w:bottom w:val="single" w:sz="4" w:space="0" w:color="auto"/>
              <w:right w:val="nil"/>
            </w:tcBorders>
            <w:shd w:val="clear" w:color="auto" w:fill="auto"/>
            <w:noWrap/>
            <w:vAlign w:val="bottom"/>
            <w:hideMark/>
          </w:tcPr>
          <w:p w14:paraId="4D67A752"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467" w:type="pct"/>
            <w:gridSpan w:val="6"/>
            <w:tcBorders>
              <w:top w:val="single" w:sz="4" w:space="0" w:color="auto"/>
              <w:left w:val="nil"/>
              <w:bottom w:val="single" w:sz="4" w:space="0" w:color="auto"/>
              <w:right w:val="nil"/>
            </w:tcBorders>
            <w:shd w:val="clear" w:color="auto" w:fill="auto"/>
            <w:noWrap/>
            <w:vAlign w:val="center"/>
            <w:hideMark/>
          </w:tcPr>
          <w:p w14:paraId="1C8AE063"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Migrant background</w:t>
            </w:r>
          </w:p>
        </w:tc>
      </w:tr>
      <w:tr w:rsidR="00DD73FF" w:rsidRPr="00A858D5" w14:paraId="6DBC1DF5" w14:textId="77777777" w:rsidTr="001745CB">
        <w:trPr>
          <w:trHeight w:val="320"/>
        </w:trPr>
        <w:tc>
          <w:tcPr>
            <w:tcW w:w="119" w:type="pct"/>
            <w:tcBorders>
              <w:top w:val="nil"/>
              <w:left w:val="nil"/>
              <w:bottom w:val="single" w:sz="4" w:space="0" w:color="auto"/>
              <w:right w:val="nil"/>
            </w:tcBorders>
            <w:shd w:val="clear" w:color="auto" w:fill="auto"/>
            <w:noWrap/>
            <w:vAlign w:val="bottom"/>
            <w:hideMark/>
          </w:tcPr>
          <w:p w14:paraId="1FACAE60"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bottom"/>
            <w:hideMark/>
          </w:tcPr>
          <w:p w14:paraId="3EAA4CCD"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bottom"/>
            <w:hideMark/>
          </w:tcPr>
          <w:p w14:paraId="26512998"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77" w:type="pct"/>
            <w:tcBorders>
              <w:top w:val="nil"/>
              <w:left w:val="nil"/>
              <w:bottom w:val="single" w:sz="4" w:space="0" w:color="auto"/>
              <w:right w:val="nil"/>
            </w:tcBorders>
            <w:shd w:val="clear" w:color="auto" w:fill="auto"/>
            <w:noWrap/>
            <w:vAlign w:val="bottom"/>
            <w:hideMark/>
          </w:tcPr>
          <w:p w14:paraId="12B56CE3"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56" w:type="pct"/>
            <w:gridSpan w:val="2"/>
            <w:tcBorders>
              <w:top w:val="single" w:sz="4" w:space="0" w:color="auto"/>
              <w:left w:val="nil"/>
              <w:bottom w:val="single" w:sz="4" w:space="0" w:color="auto"/>
              <w:right w:val="nil"/>
            </w:tcBorders>
            <w:shd w:val="clear" w:color="auto" w:fill="auto"/>
            <w:noWrap/>
            <w:vAlign w:val="center"/>
            <w:hideMark/>
          </w:tcPr>
          <w:p w14:paraId="551EEA93"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Belgian</w:t>
            </w:r>
          </w:p>
        </w:tc>
        <w:tc>
          <w:tcPr>
            <w:tcW w:w="1156" w:type="pct"/>
            <w:gridSpan w:val="2"/>
            <w:tcBorders>
              <w:top w:val="single" w:sz="4" w:space="0" w:color="auto"/>
              <w:left w:val="nil"/>
              <w:bottom w:val="single" w:sz="4" w:space="0" w:color="auto"/>
              <w:right w:val="nil"/>
            </w:tcBorders>
            <w:shd w:val="clear" w:color="auto" w:fill="auto"/>
            <w:noWrap/>
            <w:vAlign w:val="center"/>
            <w:hideMark/>
          </w:tcPr>
          <w:p w14:paraId="1E19E664"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Other HIC</w:t>
            </w:r>
          </w:p>
        </w:tc>
        <w:tc>
          <w:tcPr>
            <w:tcW w:w="1156" w:type="pct"/>
            <w:gridSpan w:val="2"/>
            <w:tcBorders>
              <w:top w:val="single" w:sz="4" w:space="0" w:color="auto"/>
              <w:left w:val="nil"/>
              <w:bottom w:val="single" w:sz="4" w:space="0" w:color="auto"/>
              <w:right w:val="nil"/>
            </w:tcBorders>
            <w:shd w:val="clear" w:color="auto" w:fill="auto"/>
            <w:noWrap/>
            <w:vAlign w:val="center"/>
            <w:hideMark/>
          </w:tcPr>
          <w:p w14:paraId="62A84DC3"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LMIC</w:t>
            </w:r>
          </w:p>
        </w:tc>
      </w:tr>
      <w:tr w:rsidR="00DD73FF" w:rsidRPr="00A858D5" w14:paraId="4DADA7DD" w14:textId="77777777" w:rsidTr="001745CB">
        <w:trPr>
          <w:trHeight w:val="320"/>
        </w:trPr>
        <w:tc>
          <w:tcPr>
            <w:tcW w:w="119" w:type="pct"/>
            <w:tcBorders>
              <w:top w:val="nil"/>
              <w:left w:val="nil"/>
              <w:bottom w:val="single" w:sz="4" w:space="0" w:color="auto"/>
              <w:right w:val="nil"/>
            </w:tcBorders>
            <w:shd w:val="clear" w:color="auto" w:fill="auto"/>
            <w:noWrap/>
            <w:vAlign w:val="bottom"/>
            <w:hideMark/>
          </w:tcPr>
          <w:p w14:paraId="64D64453"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bottom"/>
            <w:hideMark/>
          </w:tcPr>
          <w:p w14:paraId="0B081BF7"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bottom"/>
            <w:hideMark/>
          </w:tcPr>
          <w:p w14:paraId="51259737"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77" w:type="pct"/>
            <w:tcBorders>
              <w:top w:val="nil"/>
              <w:left w:val="nil"/>
              <w:bottom w:val="single" w:sz="4" w:space="0" w:color="auto"/>
              <w:right w:val="nil"/>
            </w:tcBorders>
            <w:shd w:val="clear" w:color="auto" w:fill="auto"/>
            <w:noWrap/>
            <w:vAlign w:val="bottom"/>
            <w:hideMark/>
          </w:tcPr>
          <w:p w14:paraId="2A26F392"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60" w:type="pct"/>
            <w:tcBorders>
              <w:top w:val="nil"/>
              <w:left w:val="nil"/>
              <w:bottom w:val="single" w:sz="4" w:space="0" w:color="auto"/>
              <w:right w:val="nil"/>
            </w:tcBorders>
            <w:shd w:val="clear" w:color="auto" w:fill="auto"/>
            <w:noWrap/>
            <w:vAlign w:val="center"/>
            <w:hideMark/>
          </w:tcPr>
          <w:p w14:paraId="335AF2AB"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796" w:type="pct"/>
            <w:tcBorders>
              <w:top w:val="nil"/>
              <w:left w:val="nil"/>
              <w:bottom w:val="single" w:sz="4" w:space="0" w:color="auto"/>
              <w:right w:val="nil"/>
            </w:tcBorders>
            <w:shd w:val="clear" w:color="auto" w:fill="auto"/>
            <w:noWrap/>
            <w:vAlign w:val="center"/>
            <w:hideMark/>
          </w:tcPr>
          <w:p w14:paraId="431C60AA"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OR (95%CI)</w:t>
            </w:r>
          </w:p>
        </w:tc>
        <w:tc>
          <w:tcPr>
            <w:tcW w:w="360" w:type="pct"/>
            <w:tcBorders>
              <w:top w:val="nil"/>
              <w:left w:val="nil"/>
              <w:bottom w:val="single" w:sz="4" w:space="0" w:color="auto"/>
              <w:right w:val="nil"/>
            </w:tcBorders>
            <w:shd w:val="clear" w:color="auto" w:fill="auto"/>
            <w:noWrap/>
            <w:vAlign w:val="center"/>
            <w:hideMark/>
          </w:tcPr>
          <w:p w14:paraId="32B52BBB"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796" w:type="pct"/>
            <w:tcBorders>
              <w:top w:val="nil"/>
              <w:left w:val="nil"/>
              <w:bottom w:val="single" w:sz="4" w:space="0" w:color="auto"/>
              <w:right w:val="nil"/>
            </w:tcBorders>
            <w:shd w:val="clear" w:color="auto" w:fill="auto"/>
            <w:noWrap/>
            <w:vAlign w:val="center"/>
            <w:hideMark/>
          </w:tcPr>
          <w:p w14:paraId="6B5B73D5"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OR (95%CI)</w:t>
            </w:r>
          </w:p>
        </w:tc>
        <w:tc>
          <w:tcPr>
            <w:tcW w:w="360" w:type="pct"/>
            <w:tcBorders>
              <w:top w:val="nil"/>
              <w:left w:val="nil"/>
              <w:bottom w:val="single" w:sz="4" w:space="0" w:color="auto"/>
              <w:right w:val="nil"/>
            </w:tcBorders>
            <w:shd w:val="clear" w:color="auto" w:fill="auto"/>
            <w:noWrap/>
            <w:vAlign w:val="center"/>
            <w:hideMark/>
          </w:tcPr>
          <w:p w14:paraId="2E77967C"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796" w:type="pct"/>
            <w:tcBorders>
              <w:top w:val="nil"/>
              <w:left w:val="nil"/>
              <w:bottom w:val="single" w:sz="4" w:space="0" w:color="auto"/>
              <w:right w:val="nil"/>
            </w:tcBorders>
            <w:shd w:val="clear" w:color="auto" w:fill="auto"/>
            <w:noWrap/>
            <w:vAlign w:val="center"/>
            <w:hideMark/>
          </w:tcPr>
          <w:p w14:paraId="3CD4E04C"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OR (95%CI)</w:t>
            </w:r>
          </w:p>
        </w:tc>
      </w:tr>
      <w:tr w:rsidR="00DD73FF" w:rsidRPr="00A858D5" w14:paraId="3018380E" w14:textId="77777777" w:rsidTr="001745CB">
        <w:trPr>
          <w:trHeight w:val="320"/>
        </w:trPr>
        <w:tc>
          <w:tcPr>
            <w:tcW w:w="1533" w:type="pct"/>
            <w:gridSpan w:val="4"/>
            <w:tcBorders>
              <w:top w:val="single" w:sz="4" w:space="0" w:color="auto"/>
              <w:left w:val="nil"/>
              <w:bottom w:val="single" w:sz="4" w:space="0" w:color="auto"/>
              <w:right w:val="nil"/>
            </w:tcBorders>
            <w:shd w:val="clear" w:color="auto" w:fill="auto"/>
            <w:noWrap/>
            <w:vAlign w:val="center"/>
            <w:hideMark/>
          </w:tcPr>
          <w:p w14:paraId="1A0DA47A"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Surrounding greenness</w:t>
            </w:r>
          </w:p>
        </w:tc>
        <w:tc>
          <w:tcPr>
            <w:tcW w:w="360" w:type="pct"/>
            <w:tcBorders>
              <w:top w:val="nil"/>
              <w:left w:val="nil"/>
              <w:bottom w:val="single" w:sz="4" w:space="0" w:color="auto"/>
              <w:right w:val="nil"/>
            </w:tcBorders>
            <w:shd w:val="clear" w:color="auto" w:fill="auto"/>
            <w:noWrap/>
            <w:vAlign w:val="center"/>
            <w:hideMark/>
          </w:tcPr>
          <w:p w14:paraId="186B91F9"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71CBB307"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2EA00EE0"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4D67809D"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16BDEDB1"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0F544CEF" w14:textId="77777777" w:rsidR="00DD73FF" w:rsidRPr="00A858D5" w:rsidRDefault="00DD73FF" w:rsidP="001745CB">
            <w:pPr>
              <w:jc w:val="center"/>
              <w:rPr>
                <w:rFonts w:ascii="Calibri" w:hAnsi="Calibri"/>
                <w:color w:val="000000"/>
                <w:sz w:val="21"/>
                <w:szCs w:val="21"/>
                <w:lang w:val="en-GB"/>
              </w:rPr>
            </w:pPr>
          </w:p>
        </w:tc>
      </w:tr>
      <w:tr w:rsidR="00DD73FF" w:rsidRPr="00A858D5" w14:paraId="264F04FB" w14:textId="77777777" w:rsidTr="001745CB">
        <w:trPr>
          <w:trHeight w:val="320"/>
        </w:trPr>
        <w:tc>
          <w:tcPr>
            <w:tcW w:w="119" w:type="pct"/>
            <w:tcBorders>
              <w:top w:val="nil"/>
              <w:left w:val="nil"/>
              <w:bottom w:val="single" w:sz="4" w:space="0" w:color="auto"/>
              <w:right w:val="nil"/>
            </w:tcBorders>
            <w:shd w:val="clear" w:color="auto" w:fill="auto"/>
            <w:noWrap/>
            <w:vAlign w:val="center"/>
            <w:hideMark/>
          </w:tcPr>
          <w:p w14:paraId="2C2B32A6"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414" w:type="pct"/>
            <w:gridSpan w:val="3"/>
            <w:tcBorders>
              <w:top w:val="single" w:sz="4" w:space="0" w:color="auto"/>
              <w:left w:val="nil"/>
              <w:bottom w:val="single" w:sz="4" w:space="0" w:color="auto"/>
              <w:right w:val="nil"/>
            </w:tcBorders>
            <w:shd w:val="clear" w:color="auto" w:fill="auto"/>
            <w:noWrap/>
            <w:vAlign w:val="center"/>
            <w:hideMark/>
          </w:tcPr>
          <w:p w14:paraId="1042E1AD"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Women</w:t>
            </w:r>
          </w:p>
        </w:tc>
        <w:tc>
          <w:tcPr>
            <w:tcW w:w="360" w:type="pct"/>
            <w:tcBorders>
              <w:top w:val="nil"/>
              <w:left w:val="nil"/>
              <w:bottom w:val="single" w:sz="4" w:space="0" w:color="auto"/>
              <w:right w:val="nil"/>
            </w:tcBorders>
            <w:shd w:val="clear" w:color="auto" w:fill="auto"/>
            <w:noWrap/>
            <w:vAlign w:val="center"/>
            <w:hideMark/>
          </w:tcPr>
          <w:p w14:paraId="70D85561"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36505889"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436141A2"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051FB0BB"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2BCBB759"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41459AC3" w14:textId="77777777" w:rsidR="00DD73FF" w:rsidRPr="00A858D5" w:rsidRDefault="00DD73FF" w:rsidP="001745CB">
            <w:pPr>
              <w:jc w:val="center"/>
              <w:rPr>
                <w:rFonts w:ascii="Calibri" w:hAnsi="Calibri"/>
                <w:color w:val="000000"/>
                <w:sz w:val="21"/>
                <w:szCs w:val="21"/>
                <w:lang w:val="en-GB"/>
              </w:rPr>
            </w:pPr>
          </w:p>
        </w:tc>
      </w:tr>
      <w:tr w:rsidR="00DD73FF" w:rsidRPr="00A858D5" w14:paraId="5A9AC43A" w14:textId="77777777" w:rsidTr="001745CB">
        <w:trPr>
          <w:trHeight w:val="320"/>
        </w:trPr>
        <w:tc>
          <w:tcPr>
            <w:tcW w:w="119" w:type="pct"/>
            <w:tcBorders>
              <w:top w:val="nil"/>
              <w:left w:val="nil"/>
              <w:bottom w:val="single" w:sz="4" w:space="0" w:color="auto"/>
              <w:right w:val="nil"/>
            </w:tcBorders>
            <w:shd w:val="clear" w:color="auto" w:fill="auto"/>
            <w:noWrap/>
            <w:vAlign w:val="center"/>
            <w:hideMark/>
          </w:tcPr>
          <w:p w14:paraId="407ED85E"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center"/>
            <w:hideMark/>
          </w:tcPr>
          <w:p w14:paraId="5D3F570D"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 </w:t>
            </w:r>
          </w:p>
        </w:tc>
        <w:tc>
          <w:tcPr>
            <w:tcW w:w="1295" w:type="pct"/>
            <w:gridSpan w:val="2"/>
            <w:tcBorders>
              <w:top w:val="single" w:sz="4" w:space="0" w:color="auto"/>
              <w:left w:val="nil"/>
              <w:bottom w:val="single" w:sz="4" w:space="0" w:color="auto"/>
              <w:right w:val="nil"/>
            </w:tcBorders>
            <w:shd w:val="clear" w:color="auto" w:fill="auto"/>
            <w:noWrap/>
            <w:vAlign w:val="center"/>
            <w:hideMark/>
          </w:tcPr>
          <w:p w14:paraId="61FB83CF"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360" w:type="pct"/>
            <w:tcBorders>
              <w:top w:val="nil"/>
              <w:left w:val="nil"/>
              <w:bottom w:val="single" w:sz="4" w:space="0" w:color="auto"/>
              <w:right w:val="nil"/>
            </w:tcBorders>
            <w:shd w:val="clear" w:color="auto" w:fill="auto"/>
            <w:noWrap/>
            <w:vAlign w:val="center"/>
            <w:hideMark/>
          </w:tcPr>
          <w:p w14:paraId="08FC803B"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59D01DB7"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2010DDDC"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421BF55F"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45A11D0C"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50E41F8A" w14:textId="77777777" w:rsidR="00DD73FF" w:rsidRPr="00A858D5" w:rsidRDefault="00DD73FF" w:rsidP="001745CB">
            <w:pPr>
              <w:jc w:val="center"/>
              <w:rPr>
                <w:rFonts w:ascii="Calibri" w:hAnsi="Calibri"/>
                <w:color w:val="000000"/>
                <w:sz w:val="21"/>
                <w:szCs w:val="21"/>
                <w:lang w:val="en-GB"/>
              </w:rPr>
            </w:pPr>
          </w:p>
        </w:tc>
      </w:tr>
      <w:tr w:rsidR="00DD73FF" w:rsidRPr="00A858D5" w14:paraId="31D7C374" w14:textId="77777777" w:rsidTr="001745CB">
        <w:trPr>
          <w:trHeight w:val="320"/>
        </w:trPr>
        <w:tc>
          <w:tcPr>
            <w:tcW w:w="119" w:type="pct"/>
            <w:tcBorders>
              <w:top w:val="nil"/>
              <w:left w:val="nil"/>
              <w:bottom w:val="nil"/>
              <w:right w:val="nil"/>
            </w:tcBorders>
            <w:shd w:val="clear" w:color="auto" w:fill="auto"/>
            <w:noWrap/>
            <w:vAlign w:val="center"/>
            <w:hideMark/>
          </w:tcPr>
          <w:p w14:paraId="7E66CFC4" w14:textId="77777777" w:rsidR="00DD73FF" w:rsidRPr="00A858D5" w:rsidRDefault="00DD73FF" w:rsidP="001745CB">
            <w:pPr>
              <w:rPr>
                <w:rFonts w:ascii="Calibri" w:hAnsi="Calibri"/>
                <w:color w:val="000000"/>
                <w:sz w:val="21"/>
                <w:szCs w:val="21"/>
                <w:lang w:val="en-GB"/>
              </w:rPr>
            </w:pPr>
          </w:p>
        </w:tc>
        <w:tc>
          <w:tcPr>
            <w:tcW w:w="119" w:type="pct"/>
            <w:tcBorders>
              <w:top w:val="nil"/>
              <w:left w:val="nil"/>
              <w:bottom w:val="nil"/>
              <w:right w:val="nil"/>
            </w:tcBorders>
            <w:shd w:val="clear" w:color="auto" w:fill="auto"/>
            <w:noWrap/>
            <w:vAlign w:val="center"/>
            <w:hideMark/>
          </w:tcPr>
          <w:p w14:paraId="493D8538" w14:textId="77777777" w:rsidR="00DD73FF" w:rsidRPr="00A858D5" w:rsidRDefault="00DD73FF" w:rsidP="001745CB">
            <w:pPr>
              <w:rPr>
                <w:rFonts w:ascii="Times New Roman" w:hAnsi="Times New Roman"/>
                <w:sz w:val="21"/>
                <w:szCs w:val="21"/>
                <w:lang w:val="en-GB"/>
              </w:rPr>
            </w:pPr>
          </w:p>
        </w:tc>
        <w:tc>
          <w:tcPr>
            <w:tcW w:w="119" w:type="pct"/>
            <w:tcBorders>
              <w:top w:val="nil"/>
              <w:left w:val="nil"/>
              <w:bottom w:val="nil"/>
              <w:right w:val="nil"/>
            </w:tcBorders>
            <w:shd w:val="clear" w:color="auto" w:fill="auto"/>
            <w:noWrap/>
            <w:vAlign w:val="center"/>
            <w:hideMark/>
          </w:tcPr>
          <w:p w14:paraId="582C884A" w14:textId="77777777" w:rsidR="00DD73FF" w:rsidRPr="00A858D5" w:rsidRDefault="00DD73FF" w:rsidP="001745CB">
            <w:pPr>
              <w:rPr>
                <w:rFonts w:ascii="Times New Roman" w:hAnsi="Times New Roman"/>
                <w:sz w:val="21"/>
                <w:szCs w:val="21"/>
                <w:lang w:val="en-GB"/>
              </w:rPr>
            </w:pPr>
          </w:p>
        </w:tc>
        <w:tc>
          <w:tcPr>
            <w:tcW w:w="1177" w:type="pct"/>
            <w:tcBorders>
              <w:top w:val="nil"/>
              <w:left w:val="nil"/>
              <w:bottom w:val="nil"/>
              <w:right w:val="nil"/>
            </w:tcBorders>
            <w:shd w:val="clear" w:color="auto" w:fill="auto"/>
            <w:noWrap/>
            <w:vAlign w:val="center"/>
            <w:hideMark/>
          </w:tcPr>
          <w:p w14:paraId="3F755BA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360" w:type="pct"/>
            <w:tcBorders>
              <w:top w:val="nil"/>
              <w:left w:val="nil"/>
              <w:bottom w:val="nil"/>
              <w:right w:val="nil"/>
            </w:tcBorders>
            <w:shd w:val="clear" w:color="auto" w:fill="auto"/>
            <w:noWrap/>
            <w:vAlign w:val="center"/>
            <w:hideMark/>
          </w:tcPr>
          <w:p w14:paraId="14499DD7"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62,493</w:t>
            </w:r>
          </w:p>
        </w:tc>
        <w:tc>
          <w:tcPr>
            <w:tcW w:w="796" w:type="pct"/>
            <w:tcBorders>
              <w:top w:val="nil"/>
              <w:left w:val="nil"/>
              <w:bottom w:val="nil"/>
              <w:right w:val="nil"/>
            </w:tcBorders>
            <w:shd w:val="clear" w:color="auto" w:fill="auto"/>
            <w:noWrap/>
            <w:vAlign w:val="center"/>
            <w:hideMark/>
          </w:tcPr>
          <w:p w14:paraId="6738ECDD"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0.97 (0.92, 1.03)</w:t>
            </w:r>
          </w:p>
        </w:tc>
        <w:tc>
          <w:tcPr>
            <w:tcW w:w="360" w:type="pct"/>
            <w:tcBorders>
              <w:top w:val="nil"/>
              <w:left w:val="nil"/>
              <w:bottom w:val="nil"/>
              <w:right w:val="nil"/>
            </w:tcBorders>
            <w:shd w:val="clear" w:color="auto" w:fill="auto"/>
            <w:noWrap/>
            <w:vAlign w:val="center"/>
            <w:hideMark/>
          </w:tcPr>
          <w:p w14:paraId="0DE3B72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21,610</w:t>
            </w:r>
          </w:p>
        </w:tc>
        <w:tc>
          <w:tcPr>
            <w:tcW w:w="796" w:type="pct"/>
            <w:tcBorders>
              <w:top w:val="nil"/>
              <w:left w:val="nil"/>
              <w:bottom w:val="nil"/>
              <w:right w:val="nil"/>
            </w:tcBorders>
            <w:shd w:val="clear" w:color="auto" w:fill="auto"/>
            <w:noWrap/>
            <w:vAlign w:val="center"/>
            <w:hideMark/>
          </w:tcPr>
          <w:p w14:paraId="73F4FC1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0.99 (0.89, 1.11)</w:t>
            </w:r>
          </w:p>
        </w:tc>
        <w:tc>
          <w:tcPr>
            <w:tcW w:w="360" w:type="pct"/>
            <w:tcBorders>
              <w:top w:val="nil"/>
              <w:left w:val="nil"/>
              <w:bottom w:val="nil"/>
              <w:right w:val="nil"/>
            </w:tcBorders>
            <w:shd w:val="clear" w:color="auto" w:fill="auto"/>
            <w:noWrap/>
            <w:vAlign w:val="center"/>
            <w:hideMark/>
          </w:tcPr>
          <w:p w14:paraId="187925A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13,698</w:t>
            </w:r>
          </w:p>
        </w:tc>
        <w:tc>
          <w:tcPr>
            <w:tcW w:w="796" w:type="pct"/>
            <w:tcBorders>
              <w:top w:val="nil"/>
              <w:left w:val="nil"/>
              <w:bottom w:val="nil"/>
              <w:right w:val="nil"/>
            </w:tcBorders>
            <w:shd w:val="clear" w:color="auto" w:fill="auto"/>
            <w:noWrap/>
            <w:vAlign w:val="center"/>
            <w:hideMark/>
          </w:tcPr>
          <w:p w14:paraId="7AA5486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0.94 (0.85, 1.05)</w:t>
            </w:r>
          </w:p>
        </w:tc>
      </w:tr>
      <w:tr w:rsidR="00DD73FF" w:rsidRPr="00A858D5" w14:paraId="3A95FD23" w14:textId="77777777" w:rsidTr="001745CB">
        <w:trPr>
          <w:trHeight w:val="320"/>
        </w:trPr>
        <w:tc>
          <w:tcPr>
            <w:tcW w:w="119" w:type="pct"/>
            <w:tcBorders>
              <w:top w:val="nil"/>
              <w:left w:val="nil"/>
              <w:bottom w:val="nil"/>
              <w:right w:val="nil"/>
            </w:tcBorders>
            <w:shd w:val="clear" w:color="auto" w:fill="auto"/>
            <w:noWrap/>
            <w:vAlign w:val="center"/>
            <w:hideMark/>
          </w:tcPr>
          <w:p w14:paraId="3D7214C7" w14:textId="77777777" w:rsidR="00DD73FF" w:rsidRPr="00A858D5" w:rsidRDefault="00DD73FF" w:rsidP="001745CB">
            <w:pPr>
              <w:rPr>
                <w:rFonts w:ascii="Calibri" w:hAnsi="Calibri"/>
                <w:color w:val="000000"/>
                <w:sz w:val="21"/>
                <w:szCs w:val="21"/>
                <w:lang w:val="en-GB"/>
              </w:rPr>
            </w:pPr>
          </w:p>
        </w:tc>
        <w:tc>
          <w:tcPr>
            <w:tcW w:w="119" w:type="pct"/>
            <w:tcBorders>
              <w:top w:val="nil"/>
              <w:left w:val="nil"/>
              <w:bottom w:val="nil"/>
              <w:right w:val="nil"/>
            </w:tcBorders>
            <w:shd w:val="clear" w:color="auto" w:fill="auto"/>
            <w:noWrap/>
            <w:vAlign w:val="center"/>
            <w:hideMark/>
          </w:tcPr>
          <w:p w14:paraId="5C93F5C0" w14:textId="77777777" w:rsidR="00DD73FF" w:rsidRPr="00A858D5" w:rsidRDefault="00DD73FF" w:rsidP="001745CB">
            <w:pPr>
              <w:rPr>
                <w:rFonts w:ascii="Times New Roman" w:hAnsi="Times New Roman"/>
                <w:sz w:val="21"/>
                <w:szCs w:val="21"/>
                <w:lang w:val="en-GB"/>
              </w:rPr>
            </w:pPr>
          </w:p>
        </w:tc>
        <w:tc>
          <w:tcPr>
            <w:tcW w:w="119" w:type="pct"/>
            <w:tcBorders>
              <w:top w:val="nil"/>
              <w:left w:val="nil"/>
              <w:bottom w:val="nil"/>
              <w:right w:val="nil"/>
            </w:tcBorders>
            <w:shd w:val="clear" w:color="auto" w:fill="auto"/>
            <w:noWrap/>
            <w:vAlign w:val="center"/>
            <w:hideMark/>
          </w:tcPr>
          <w:p w14:paraId="3347B053" w14:textId="77777777" w:rsidR="00DD73FF" w:rsidRPr="00A858D5" w:rsidRDefault="00DD73FF" w:rsidP="001745CB">
            <w:pPr>
              <w:rPr>
                <w:rFonts w:ascii="Times New Roman" w:hAnsi="Times New Roman"/>
                <w:sz w:val="21"/>
                <w:szCs w:val="21"/>
                <w:lang w:val="en-GB"/>
              </w:rPr>
            </w:pPr>
          </w:p>
        </w:tc>
        <w:tc>
          <w:tcPr>
            <w:tcW w:w="1177" w:type="pct"/>
            <w:tcBorders>
              <w:top w:val="nil"/>
              <w:left w:val="nil"/>
              <w:bottom w:val="nil"/>
              <w:right w:val="nil"/>
            </w:tcBorders>
            <w:shd w:val="clear" w:color="auto" w:fill="auto"/>
            <w:noWrap/>
            <w:vAlign w:val="center"/>
            <w:hideMark/>
          </w:tcPr>
          <w:p w14:paraId="6044375E"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360" w:type="pct"/>
            <w:tcBorders>
              <w:top w:val="nil"/>
              <w:left w:val="nil"/>
              <w:bottom w:val="nil"/>
              <w:right w:val="nil"/>
            </w:tcBorders>
            <w:shd w:val="clear" w:color="auto" w:fill="auto"/>
            <w:noWrap/>
            <w:vAlign w:val="center"/>
            <w:hideMark/>
          </w:tcPr>
          <w:p w14:paraId="340CFB7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44,069</w:t>
            </w:r>
          </w:p>
        </w:tc>
        <w:tc>
          <w:tcPr>
            <w:tcW w:w="796" w:type="pct"/>
            <w:tcBorders>
              <w:top w:val="nil"/>
              <w:left w:val="nil"/>
              <w:bottom w:val="nil"/>
              <w:right w:val="nil"/>
            </w:tcBorders>
            <w:shd w:val="clear" w:color="auto" w:fill="auto"/>
            <w:noWrap/>
            <w:vAlign w:val="center"/>
            <w:hideMark/>
          </w:tcPr>
          <w:p w14:paraId="7118212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0.99 (0.94, 1.04)</w:t>
            </w:r>
          </w:p>
        </w:tc>
        <w:tc>
          <w:tcPr>
            <w:tcW w:w="360" w:type="pct"/>
            <w:tcBorders>
              <w:top w:val="nil"/>
              <w:left w:val="nil"/>
              <w:bottom w:val="nil"/>
              <w:right w:val="nil"/>
            </w:tcBorders>
            <w:shd w:val="clear" w:color="auto" w:fill="auto"/>
            <w:noWrap/>
            <w:vAlign w:val="center"/>
            <w:hideMark/>
          </w:tcPr>
          <w:p w14:paraId="45BBD677"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13,496</w:t>
            </w:r>
          </w:p>
        </w:tc>
        <w:tc>
          <w:tcPr>
            <w:tcW w:w="796" w:type="pct"/>
            <w:tcBorders>
              <w:top w:val="nil"/>
              <w:left w:val="nil"/>
              <w:bottom w:val="nil"/>
              <w:right w:val="nil"/>
            </w:tcBorders>
            <w:shd w:val="clear" w:color="auto" w:fill="auto"/>
            <w:noWrap/>
            <w:vAlign w:val="center"/>
            <w:hideMark/>
          </w:tcPr>
          <w:p w14:paraId="521F673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0.92 (0.83, 1.02)</w:t>
            </w:r>
          </w:p>
        </w:tc>
        <w:tc>
          <w:tcPr>
            <w:tcW w:w="360" w:type="pct"/>
            <w:tcBorders>
              <w:top w:val="nil"/>
              <w:left w:val="nil"/>
              <w:bottom w:val="nil"/>
              <w:right w:val="nil"/>
            </w:tcBorders>
            <w:shd w:val="clear" w:color="auto" w:fill="auto"/>
            <w:noWrap/>
            <w:vAlign w:val="center"/>
            <w:hideMark/>
          </w:tcPr>
          <w:p w14:paraId="19C7E74D"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19,437</w:t>
            </w:r>
          </w:p>
        </w:tc>
        <w:tc>
          <w:tcPr>
            <w:tcW w:w="796" w:type="pct"/>
            <w:tcBorders>
              <w:top w:val="nil"/>
              <w:left w:val="nil"/>
              <w:bottom w:val="nil"/>
              <w:right w:val="nil"/>
            </w:tcBorders>
            <w:shd w:val="clear" w:color="auto" w:fill="auto"/>
            <w:noWrap/>
            <w:vAlign w:val="center"/>
            <w:hideMark/>
          </w:tcPr>
          <w:p w14:paraId="2501368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0.92 (0.84, 1.00)</w:t>
            </w:r>
          </w:p>
        </w:tc>
      </w:tr>
      <w:tr w:rsidR="00DD73FF" w:rsidRPr="00A858D5" w14:paraId="6180D9DC" w14:textId="77777777" w:rsidTr="001745CB">
        <w:trPr>
          <w:trHeight w:val="320"/>
        </w:trPr>
        <w:tc>
          <w:tcPr>
            <w:tcW w:w="119" w:type="pct"/>
            <w:tcBorders>
              <w:top w:val="nil"/>
              <w:left w:val="nil"/>
              <w:bottom w:val="single" w:sz="4" w:space="0" w:color="auto"/>
              <w:right w:val="nil"/>
            </w:tcBorders>
            <w:shd w:val="clear" w:color="auto" w:fill="auto"/>
            <w:noWrap/>
            <w:vAlign w:val="center"/>
            <w:hideMark/>
          </w:tcPr>
          <w:p w14:paraId="271CF99D"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center"/>
            <w:hideMark/>
          </w:tcPr>
          <w:p w14:paraId="1DA0C3F8"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center"/>
            <w:hideMark/>
          </w:tcPr>
          <w:p w14:paraId="3B8AC2F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77" w:type="pct"/>
            <w:tcBorders>
              <w:top w:val="nil"/>
              <w:left w:val="nil"/>
              <w:bottom w:val="single" w:sz="4" w:space="0" w:color="auto"/>
              <w:right w:val="nil"/>
            </w:tcBorders>
            <w:shd w:val="clear" w:color="auto" w:fill="auto"/>
            <w:noWrap/>
            <w:vAlign w:val="center"/>
            <w:hideMark/>
          </w:tcPr>
          <w:p w14:paraId="5565FDE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360" w:type="pct"/>
            <w:tcBorders>
              <w:top w:val="nil"/>
              <w:left w:val="nil"/>
              <w:bottom w:val="single" w:sz="4" w:space="0" w:color="auto"/>
              <w:right w:val="nil"/>
            </w:tcBorders>
            <w:shd w:val="clear" w:color="auto" w:fill="auto"/>
            <w:noWrap/>
            <w:vAlign w:val="center"/>
            <w:hideMark/>
          </w:tcPr>
          <w:p w14:paraId="44C9888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66,965</w:t>
            </w:r>
          </w:p>
        </w:tc>
        <w:tc>
          <w:tcPr>
            <w:tcW w:w="796" w:type="pct"/>
            <w:tcBorders>
              <w:top w:val="nil"/>
              <w:left w:val="nil"/>
              <w:bottom w:val="single" w:sz="4" w:space="0" w:color="auto"/>
              <w:right w:val="nil"/>
            </w:tcBorders>
            <w:shd w:val="clear" w:color="auto" w:fill="auto"/>
            <w:noWrap/>
            <w:vAlign w:val="center"/>
            <w:hideMark/>
          </w:tcPr>
          <w:p w14:paraId="0286F963"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0.94 (0.90, </w:t>
            </w:r>
            <w:proofErr w:type="gramStart"/>
            <w:r w:rsidRPr="00A858D5">
              <w:rPr>
                <w:rFonts w:ascii="Calibri" w:hAnsi="Calibri"/>
                <w:color w:val="000000"/>
                <w:sz w:val="21"/>
                <w:szCs w:val="21"/>
                <w:lang w:val="en-GB"/>
              </w:rPr>
              <w:t>0.98)*</w:t>
            </w:r>
            <w:proofErr w:type="gramEnd"/>
          </w:p>
        </w:tc>
        <w:tc>
          <w:tcPr>
            <w:tcW w:w="360" w:type="pct"/>
            <w:tcBorders>
              <w:top w:val="nil"/>
              <w:left w:val="nil"/>
              <w:bottom w:val="single" w:sz="4" w:space="0" w:color="auto"/>
              <w:right w:val="nil"/>
            </w:tcBorders>
            <w:shd w:val="clear" w:color="auto" w:fill="auto"/>
            <w:noWrap/>
            <w:vAlign w:val="center"/>
            <w:hideMark/>
          </w:tcPr>
          <w:p w14:paraId="0F19FEBE"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21,184</w:t>
            </w:r>
          </w:p>
        </w:tc>
        <w:tc>
          <w:tcPr>
            <w:tcW w:w="796" w:type="pct"/>
            <w:tcBorders>
              <w:top w:val="nil"/>
              <w:left w:val="nil"/>
              <w:bottom w:val="single" w:sz="4" w:space="0" w:color="auto"/>
              <w:right w:val="nil"/>
            </w:tcBorders>
            <w:shd w:val="clear" w:color="auto" w:fill="auto"/>
            <w:noWrap/>
            <w:vAlign w:val="center"/>
            <w:hideMark/>
          </w:tcPr>
          <w:p w14:paraId="734E863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0.87 (0.81, </w:t>
            </w:r>
            <w:proofErr w:type="gramStart"/>
            <w:r w:rsidRPr="00A858D5">
              <w:rPr>
                <w:rFonts w:ascii="Calibri" w:hAnsi="Calibri"/>
                <w:color w:val="000000"/>
                <w:sz w:val="21"/>
                <w:szCs w:val="21"/>
                <w:lang w:val="en-GB"/>
              </w:rPr>
              <w:t>0.93)*</w:t>
            </w:r>
            <w:proofErr w:type="gramEnd"/>
          </w:p>
        </w:tc>
        <w:tc>
          <w:tcPr>
            <w:tcW w:w="360" w:type="pct"/>
            <w:tcBorders>
              <w:top w:val="nil"/>
              <w:left w:val="nil"/>
              <w:bottom w:val="single" w:sz="4" w:space="0" w:color="auto"/>
              <w:right w:val="nil"/>
            </w:tcBorders>
            <w:shd w:val="clear" w:color="auto" w:fill="auto"/>
            <w:noWrap/>
            <w:vAlign w:val="center"/>
            <w:hideMark/>
          </w:tcPr>
          <w:p w14:paraId="267F7F2A"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36,261</w:t>
            </w:r>
          </w:p>
        </w:tc>
        <w:tc>
          <w:tcPr>
            <w:tcW w:w="796" w:type="pct"/>
            <w:tcBorders>
              <w:top w:val="nil"/>
              <w:left w:val="nil"/>
              <w:bottom w:val="single" w:sz="4" w:space="0" w:color="auto"/>
              <w:right w:val="nil"/>
            </w:tcBorders>
            <w:shd w:val="clear" w:color="auto" w:fill="auto"/>
            <w:noWrap/>
            <w:vAlign w:val="center"/>
            <w:hideMark/>
          </w:tcPr>
          <w:p w14:paraId="043E34E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0.92 (0.86, </w:t>
            </w:r>
            <w:proofErr w:type="gramStart"/>
            <w:r w:rsidRPr="00A858D5">
              <w:rPr>
                <w:rFonts w:ascii="Calibri" w:hAnsi="Calibri"/>
                <w:color w:val="000000"/>
                <w:sz w:val="21"/>
                <w:szCs w:val="21"/>
                <w:lang w:val="en-GB"/>
              </w:rPr>
              <w:t>0.98)*</w:t>
            </w:r>
            <w:proofErr w:type="gramEnd"/>
          </w:p>
        </w:tc>
      </w:tr>
      <w:tr w:rsidR="00DD73FF" w:rsidRPr="00A858D5" w14:paraId="31F1FF5A" w14:textId="77777777" w:rsidTr="001745CB">
        <w:trPr>
          <w:trHeight w:val="320"/>
        </w:trPr>
        <w:tc>
          <w:tcPr>
            <w:tcW w:w="119" w:type="pct"/>
            <w:tcBorders>
              <w:top w:val="nil"/>
              <w:left w:val="nil"/>
              <w:bottom w:val="single" w:sz="4" w:space="0" w:color="auto"/>
              <w:right w:val="nil"/>
            </w:tcBorders>
            <w:shd w:val="clear" w:color="auto" w:fill="auto"/>
            <w:noWrap/>
            <w:vAlign w:val="center"/>
            <w:hideMark/>
          </w:tcPr>
          <w:p w14:paraId="2732B97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414" w:type="pct"/>
            <w:gridSpan w:val="3"/>
            <w:tcBorders>
              <w:top w:val="single" w:sz="4" w:space="0" w:color="auto"/>
              <w:left w:val="nil"/>
              <w:bottom w:val="single" w:sz="4" w:space="0" w:color="auto"/>
              <w:right w:val="nil"/>
            </w:tcBorders>
            <w:shd w:val="clear" w:color="auto" w:fill="auto"/>
            <w:noWrap/>
            <w:vAlign w:val="center"/>
            <w:hideMark/>
          </w:tcPr>
          <w:p w14:paraId="6002F82E"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Men</w:t>
            </w:r>
          </w:p>
        </w:tc>
        <w:tc>
          <w:tcPr>
            <w:tcW w:w="360" w:type="pct"/>
            <w:tcBorders>
              <w:top w:val="nil"/>
              <w:left w:val="nil"/>
              <w:bottom w:val="single" w:sz="4" w:space="0" w:color="auto"/>
              <w:right w:val="nil"/>
            </w:tcBorders>
            <w:shd w:val="clear" w:color="auto" w:fill="auto"/>
            <w:noWrap/>
            <w:vAlign w:val="center"/>
            <w:hideMark/>
          </w:tcPr>
          <w:p w14:paraId="6CF7DBA5"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7BB22819"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7CB93B4B"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6924A1F5"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3D661BA1"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113ED159" w14:textId="77777777" w:rsidR="00DD73FF" w:rsidRPr="00A858D5" w:rsidRDefault="00DD73FF" w:rsidP="001745CB">
            <w:pPr>
              <w:jc w:val="center"/>
              <w:rPr>
                <w:rFonts w:ascii="Calibri" w:hAnsi="Calibri"/>
                <w:color w:val="000000"/>
                <w:sz w:val="21"/>
                <w:szCs w:val="21"/>
                <w:lang w:val="en-GB"/>
              </w:rPr>
            </w:pPr>
          </w:p>
        </w:tc>
      </w:tr>
      <w:tr w:rsidR="00DD73FF" w:rsidRPr="00A858D5" w14:paraId="2BC3D28C" w14:textId="77777777" w:rsidTr="001745CB">
        <w:trPr>
          <w:trHeight w:val="320"/>
        </w:trPr>
        <w:tc>
          <w:tcPr>
            <w:tcW w:w="119" w:type="pct"/>
            <w:tcBorders>
              <w:top w:val="nil"/>
              <w:left w:val="nil"/>
              <w:bottom w:val="single" w:sz="4" w:space="0" w:color="auto"/>
              <w:right w:val="nil"/>
            </w:tcBorders>
            <w:shd w:val="clear" w:color="auto" w:fill="auto"/>
            <w:noWrap/>
            <w:vAlign w:val="center"/>
            <w:hideMark/>
          </w:tcPr>
          <w:p w14:paraId="2BDDE62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center"/>
            <w:hideMark/>
          </w:tcPr>
          <w:p w14:paraId="7AD24FE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95" w:type="pct"/>
            <w:gridSpan w:val="2"/>
            <w:tcBorders>
              <w:top w:val="single" w:sz="4" w:space="0" w:color="auto"/>
              <w:left w:val="nil"/>
              <w:bottom w:val="single" w:sz="4" w:space="0" w:color="auto"/>
              <w:right w:val="nil"/>
            </w:tcBorders>
            <w:shd w:val="clear" w:color="auto" w:fill="auto"/>
            <w:noWrap/>
            <w:vAlign w:val="center"/>
            <w:hideMark/>
          </w:tcPr>
          <w:p w14:paraId="71517CC1"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360" w:type="pct"/>
            <w:tcBorders>
              <w:top w:val="nil"/>
              <w:left w:val="nil"/>
              <w:bottom w:val="single" w:sz="4" w:space="0" w:color="auto"/>
              <w:right w:val="nil"/>
            </w:tcBorders>
            <w:shd w:val="clear" w:color="auto" w:fill="auto"/>
            <w:noWrap/>
            <w:vAlign w:val="center"/>
            <w:hideMark/>
          </w:tcPr>
          <w:p w14:paraId="5E2BFEE8"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58DF01CA"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7E5497B8"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0E4D58EB" w14:textId="77777777" w:rsidR="00DD73FF" w:rsidRPr="00A858D5" w:rsidRDefault="00DD73FF" w:rsidP="001745CB">
            <w:pPr>
              <w:jc w:val="center"/>
              <w:rPr>
                <w:rFonts w:ascii="Calibri" w:hAnsi="Calibri"/>
                <w:color w:val="000000"/>
                <w:sz w:val="21"/>
                <w:szCs w:val="21"/>
                <w:lang w:val="en-GB"/>
              </w:rPr>
            </w:pPr>
          </w:p>
        </w:tc>
        <w:tc>
          <w:tcPr>
            <w:tcW w:w="360" w:type="pct"/>
            <w:tcBorders>
              <w:top w:val="nil"/>
              <w:left w:val="nil"/>
              <w:bottom w:val="single" w:sz="4" w:space="0" w:color="auto"/>
              <w:right w:val="nil"/>
            </w:tcBorders>
            <w:shd w:val="clear" w:color="auto" w:fill="auto"/>
            <w:noWrap/>
            <w:vAlign w:val="center"/>
            <w:hideMark/>
          </w:tcPr>
          <w:p w14:paraId="4858F893" w14:textId="77777777" w:rsidR="00DD73FF" w:rsidRPr="00A858D5" w:rsidRDefault="00DD73FF" w:rsidP="001745CB">
            <w:pPr>
              <w:jc w:val="center"/>
              <w:rPr>
                <w:rFonts w:ascii="Calibri" w:hAnsi="Calibri"/>
                <w:color w:val="000000"/>
                <w:sz w:val="21"/>
                <w:szCs w:val="21"/>
                <w:lang w:val="en-GB"/>
              </w:rPr>
            </w:pPr>
          </w:p>
        </w:tc>
        <w:tc>
          <w:tcPr>
            <w:tcW w:w="796" w:type="pct"/>
            <w:tcBorders>
              <w:top w:val="nil"/>
              <w:left w:val="nil"/>
              <w:bottom w:val="single" w:sz="4" w:space="0" w:color="auto"/>
              <w:right w:val="nil"/>
            </w:tcBorders>
            <w:shd w:val="clear" w:color="auto" w:fill="auto"/>
            <w:noWrap/>
            <w:vAlign w:val="center"/>
            <w:hideMark/>
          </w:tcPr>
          <w:p w14:paraId="18450B01" w14:textId="77777777" w:rsidR="00DD73FF" w:rsidRPr="00A858D5" w:rsidRDefault="00DD73FF" w:rsidP="001745CB">
            <w:pPr>
              <w:jc w:val="center"/>
              <w:rPr>
                <w:rFonts w:ascii="Calibri" w:hAnsi="Calibri"/>
                <w:color w:val="000000"/>
                <w:sz w:val="21"/>
                <w:szCs w:val="21"/>
                <w:lang w:val="en-GB"/>
              </w:rPr>
            </w:pPr>
          </w:p>
        </w:tc>
      </w:tr>
      <w:tr w:rsidR="00DD73FF" w:rsidRPr="00A858D5" w14:paraId="1BBED825" w14:textId="77777777" w:rsidTr="001745CB">
        <w:trPr>
          <w:trHeight w:val="320"/>
        </w:trPr>
        <w:tc>
          <w:tcPr>
            <w:tcW w:w="119" w:type="pct"/>
            <w:tcBorders>
              <w:top w:val="nil"/>
              <w:left w:val="nil"/>
              <w:bottom w:val="nil"/>
              <w:right w:val="nil"/>
            </w:tcBorders>
            <w:shd w:val="clear" w:color="auto" w:fill="auto"/>
            <w:noWrap/>
            <w:vAlign w:val="center"/>
            <w:hideMark/>
          </w:tcPr>
          <w:p w14:paraId="12710CA5" w14:textId="77777777" w:rsidR="00DD73FF" w:rsidRPr="00A858D5" w:rsidRDefault="00DD73FF" w:rsidP="001745CB">
            <w:pPr>
              <w:rPr>
                <w:rFonts w:ascii="Calibri" w:hAnsi="Calibri"/>
                <w:color w:val="000000"/>
                <w:sz w:val="21"/>
                <w:szCs w:val="21"/>
                <w:lang w:val="en-GB"/>
              </w:rPr>
            </w:pPr>
          </w:p>
        </w:tc>
        <w:tc>
          <w:tcPr>
            <w:tcW w:w="119" w:type="pct"/>
            <w:tcBorders>
              <w:top w:val="nil"/>
              <w:left w:val="nil"/>
              <w:bottom w:val="nil"/>
              <w:right w:val="nil"/>
            </w:tcBorders>
            <w:shd w:val="clear" w:color="auto" w:fill="auto"/>
            <w:noWrap/>
            <w:vAlign w:val="center"/>
            <w:hideMark/>
          </w:tcPr>
          <w:p w14:paraId="15FEC9DF" w14:textId="77777777" w:rsidR="00DD73FF" w:rsidRPr="00A858D5" w:rsidRDefault="00DD73FF" w:rsidP="001745CB">
            <w:pPr>
              <w:rPr>
                <w:rFonts w:ascii="Times New Roman" w:hAnsi="Times New Roman"/>
                <w:sz w:val="21"/>
                <w:szCs w:val="21"/>
                <w:lang w:val="en-GB"/>
              </w:rPr>
            </w:pPr>
          </w:p>
        </w:tc>
        <w:tc>
          <w:tcPr>
            <w:tcW w:w="119" w:type="pct"/>
            <w:tcBorders>
              <w:top w:val="nil"/>
              <w:left w:val="nil"/>
              <w:bottom w:val="nil"/>
              <w:right w:val="nil"/>
            </w:tcBorders>
            <w:shd w:val="clear" w:color="auto" w:fill="auto"/>
            <w:noWrap/>
            <w:vAlign w:val="center"/>
            <w:hideMark/>
          </w:tcPr>
          <w:p w14:paraId="6A931EC4" w14:textId="77777777" w:rsidR="00DD73FF" w:rsidRPr="00A858D5" w:rsidRDefault="00DD73FF" w:rsidP="001745CB">
            <w:pPr>
              <w:rPr>
                <w:rFonts w:ascii="Times New Roman" w:hAnsi="Times New Roman"/>
                <w:sz w:val="21"/>
                <w:szCs w:val="21"/>
                <w:lang w:val="en-GB"/>
              </w:rPr>
            </w:pPr>
          </w:p>
        </w:tc>
        <w:tc>
          <w:tcPr>
            <w:tcW w:w="1177" w:type="pct"/>
            <w:tcBorders>
              <w:top w:val="nil"/>
              <w:left w:val="nil"/>
              <w:bottom w:val="nil"/>
              <w:right w:val="nil"/>
            </w:tcBorders>
            <w:shd w:val="clear" w:color="auto" w:fill="auto"/>
            <w:noWrap/>
            <w:vAlign w:val="center"/>
            <w:hideMark/>
          </w:tcPr>
          <w:p w14:paraId="29102C3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360" w:type="pct"/>
            <w:tcBorders>
              <w:top w:val="nil"/>
              <w:left w:val="nil"/>
              <w:bottom w:val="nil"/>
              <w:right w:val="nil"/>
            </w:tcBorders>
            <w:shd w:val="clear" w:color="auto" w:fill="auto"/>
            <w:noWrap/>
            <w:vAlign w:val="center"/>
            <w:hideMark/>
          </w:tcPr>
          <w:p w14:paraId="6C7DA3E7"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57,496</w:t>
            </w:r>
          </w:p>
        </w:tc>
        <w:tc>
          <w:tcPr>
            <w:tcW w:w="796" w:type="pct"/>
            <w:tcBorders>
              <w:top w:val="nil"/>
              <w:left w:val="nil"/>
              <w:bottom w:val="nil"/>
              <w:right w:val="nil"/>
            </w:tcBorders>
            <w:shd w:val="clear" w:color="auto" w:fill="auto"/>
            <w:noWrap/>
            <w:vAlign w:val="center"/>
            <w:hideMark/>
          </w:tcPr>
          <w:p w14:paraId="2B05D845"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0.90 (0.85, </w:t>
            </w:r>
            <w:proofErr w:type="gramStart"/>
            <w:r w:rsidRPr="00A858D5">
              <w:rPr>
                <w:rFonts w:ascii="Calibri" w:hAnsi="Calibri"/>
                <w:color w:val="000000"/>
                <w:sz w:val="21"/>
                <w:szCs w:val="21"/>
                <w:lang w:val="en-GB"/>
              </w:rPr>
              <w:t>0.95)*</w:t>
            </w:r>
            <w:proofErr w:type="gramEnd"/>
          </w:p>
        </w:tc>
        <w:tc>
          <w:tcPr>
            <w:tcW w:w="360" w:type="pct"/>
            <w:tcBorders>
              <w:top w:val="nil"/>
              <w:left w:val="nil"/>
              <w:bottom w:val="nil"/>
              <w:right w:val="nil"/>
            </w:tcBorders>
            <w:shd w:val="clear" w:color="auto" w:fill="auto"/>
            <w:noWrap/>
            <w:vAlign w:val="center"/>
            <w:hideMark/>
          </w:tcPr>
          <w:p w14:paraId="1A46929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20,018</w:t>
            </w:r>
          </w:p>
        </w:tc>
        <w:tc>
          <w:tcPr>
            <w:tcW w:w="796" w:type="pct"/>
            <w:tcBorders>
              <w:top w:val="nil"/>
              <w:left w:val="nil"/>
              <w:bottom w:val="nil"/>
              <w:right w:val="nil"/>
            </w:tcBorders>
            <w:shd w:val="clear" w:color="auto" w:fill="auto"/>
            <w:noWrap/>
            <w:vAlign w:val="center"/>
            <w:hideMark/>
          </w:tcPr>
          <w:p w14:paraId="2072047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0.85 (0.76, </w:t>
            </w:r>
            <w:proofErr w:type="gramStart"/>
            <w:r w:rsidRPr="00A858D5">
              <w:rPr>
                <w:rFonts w:ascii="Calibri" w:hAnsi="Calibri"/>
                <w:color w:val="000000"/>
                <w:sz w:val="21"/>
                <w:szCs w:val="21"/>
                <w:lang w:val="en-GB"/>
              </w:rPr>
              <w:t>0.95)*</w:t>
            </w:r>
            <w:proofErr w:type="gramEnd"/>
          </w:p>
        </w:tc>
        <w:tc>
          <w:tcPr>
            <w:tcW w:w="360" w:type="pct"/>
            <w:tcBorders>
              <w:top w:val="nil"/>
              <w:left w:val="nil"/>
              <w:bottom w:val="nil"/>
              <w:right w:val="nil"/>
            </w:tcBorders>
            <w:shd w:val="clear" w:color="auto" w:fill="auto"/>
            <w:noWrap/>
            <w:vAlign w:val="center"/>
            <w:hideMark/>
          </w:tcPr>
          <w:p w14:paraId="51232F9D"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15,965</w:t>
            </w:r>
          </w:p>
        </w:tc>
        <w:tc>
          <w:tcPr>
            <w:tcW w:w="796" w:type="pct"/>
            <w:tcBorders>
              <w:top w:val="nil"/>
              <w:left w:val="nil"/>
              <w:bottom w:val="nil"/>
              <w:right w:val="nil"/>
            </w:tcBorders>
            <w:shd w:val="clear" w:color="auto" w:fill="auto"/>
            <w:noWrap/>
            <w:vAlign w:val="center"/>
            <w:hideMark/>
          </w:tcPr>
          <w:p w14:paraId="4DE66BB5"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0.92 (0.82, 1.03)</w:t>
            </w:r>
          </w:p>
        </w:tc>
      </w:tr>
      <w:tr w:rsidR="00DD73FF" w:rsidRPr="00A858D5" w14:paraId="1C1A2220" w14:textId="77777777" w:rsidTr="001745CB">
        <w:trPr>
          <w:trHeight w:val="320"/>
        </w:trPr>
        <w:tc>
          <w:tcPr>
            <w:tcW w:w="119" w:type="pct"/>
            <w:tcBorders>
              <w:top w:val="nil"/>
              <w:left w:val="nil"/>
              <w:bottom w:val="nil"/>
              <w:right w:val="nil"/>
            </w:tcBorders>
            <w:shd w:val="clear" w:color="auto" w:fill="auto"/>
            <w:noWrap/>
            <w:vAlign w:val="center"/>
            <w:hideMark/>
          </w:tcPr>
          <w:p w14:paraId="0376D1AC" w14:textId="77777777" w:rsidR="00DD73FF" w:rsidRPr="00A858D5" w:rsidRDefault="00DD73FF" w:rsidP="001745CB">
            <w:pPr>
              <w:rPr>
                <w:rFonts w:ascii="Calibri" w:hAnsi="Calibri"/>
                <w:color w:val="000000"/>
                <w:sz w:val="21"/>
                <w:szCs w:val="21"/>
                <w:lang w:val="en-GB"/>
              </w:rPr>
            </w:pPr>
          </w:p>
        </w:tc>
        <w:tc>
          <w:tcPr>
            <w:tcW w:w="119" w:type="pct"/>
            <w:tcBorders>
              <w:top w:val="nil"/>
              <w:left w:val="nil"/>
              <w:bottom w:val="nil"/>
              <w:right w:val="nil"/>
            </w:tcBorders>
            <w:shd w:val="clear" w:color="auto" w:fill="auto"/>
            <w:noWrap/>
            <w:vAlign w:val="center"/>
            <w:hideMark/>
          </w:tcPr>
          <w:p w14:paraId="005658E1" w14:textId="77777777" w:rsidR="00DD73FF" w:rsidRPr="00A858D5" w:rsidRDefault="00DD73FF" w:rsidP="001745CB">
            <w:pPr>
              <w:rPr>
                <w:rFonts w:ascii="Times New Roman" w:hAnsi="Times New Roman"/>
                <w:sz w:val="21"/>
                <w:szCs w:val="21"/>
                <w:lang w:val="en-GB"/>
              </w:rPr>
            </w:pPr>
          </w:p>
        </w:tc>
        <w:tc>
          <w:tcPr>
            <w:tcW w:w="119" w:type="pct"/>
            <w:tcBorders>
              <w:top w:val="nil"/>
              <w:left w:val="nil"/>
              <w:bottom w:val="nil"/>
              <w:right w:val="nil"/>
            </w:tcBorders>
            <w:shd w:val="clear" w:color="auto" w:fill="auto"/>
            <w:noWrap/>
            <w:vAlign w:val="center"/>
            <w:hideMark/>
          </w:tcPr>
          <w:p w14:paraId="0B9C555B" w14:textId="77777777" w:rsidR="00DD73FF" w:rsidRPr="00A858D5" w:rsidRDefault="00DD73FF" w:rsidP="001745CB">
            <w:pPr>
              <w:rPr>
                <w:rFonts w:ascii="Times New Roman" w:hAnsi="Times New Roman"/>
                <w:sz w:val="21"/>
                <w:szCs w:val="21"/>
                <w:lang w:val="en-GB"/>
              </w:rPr>
            </w:pPr>
          </w:p>
        </w:tc>
        <w:tc>
          <w:tcPr>
            <w:tcW w:w="1177" w:type="pct"/>
            <w:tcBorders>
              <w:top w:val="nil"/>
              <w:left w:val="nil"/>
              <w:bottom w:val="nil"/>
              <w:right w:val="nil"/>
            </w:tcBorders>
            <w:shd w:val="clear" w:color="auto" w:fill="auto"/>
            <w:noWrap/>
            <w:vAlign w:val="center"/>
            <w:hideMark/>
          </w:tcPr>
          <w:p w14:paraId="07833E9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360" w:type="pct"/>
            <w:tcBorders>
              <w:top w:val="nil"/>
              <w:left w:val="nil"/>
              <w:bottom w:val="nil"/>
              <w:right w:val="nil"/>
            </w:tcBorders>
            <w:shd w:val="clear" w:color="auto" w:fill="auto"/>
            <w:noWrap/>
            <w:vAlign w:val="center"/>
            <w:hideMark/>
          </w:tcPr>
          <w:p w14:paraId="510496A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37,935</w:t>
            </w:r>
          </w:p>
        </w:tc>
        <w:tc>
          <w:tcPr>
            <w:tcW w:w="796" w:type="pct"/>
            <w:tcBorders>
              <w:top w:val="nil"/>
              <w:left w:val="nil"/>
              <w:bottom w:val="nil"/>
              <w:right w:val="nil"/>
            </w:tcBorders>
            <w:shd w:val="clear" w:color="auto" w:fill="auto"/>
            <w:noWrap/>
            <w:vAlign w:val="center"/>
            <w:hideMark/>
          </w:tcPr>
          <w:p w14:paraId="3814B95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(0.87, </w:t>
            </w:r>
            <w:proofErr w:type="gramStart"/>
            <w:r w:rsidRPr="00A858D5">
              <w:rPr>
                <w:rFonts w:ascii="Calibri" w:hAnsi="Calibri"/>
                <w:color w:val="000000"/>
                <w:sz w:val="21"/>
                <w:szCs w:val="21"/>
                <w:lang w:val="en-GB"/>
              </w:rPr>
              <w:t>0.98)*</w:t>
            </w:r>
            <w:proofErr w:type="gramEnd"/>
          </w:p>
        </w:tc>
        <w:tc>
          <w:tcPr>
            <w:tcW w:w="360" w:type="pct"/>
            <w:tcBorders>
              <w:top w:val="nil"/>
              <w:left w:val="nil"/>
              <w:bottom w:val="nil"/>
              <w:right w:val="nil"/>
            </w:tcBorders>
            <w:shd w:val="clear" w:color="auto" w:fill="auto"/>
            <w:noWrap/>
            <w:vAlign w:val="center"/>
            <w:hideMark/>
          </w:tcPr>
          <w:p w14:paraId="0E176A1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11,680</w:t>
            </w:r>
          </w:p>
        </w:tc>
        <w:tc>
          <w:tcPr>
            <w:tcW w:w="796" w:type="pct"/>
            <w:tcBorders>
              <w:top w:val="nil"/>
              <w:left w:val="nil"/>
              <w:bottom w:val="nil"/>
              <w:right w:val="nil"/>
            </w:tcBorders>
            <w:shd w:val="clear" w:color="auto" w:fill="auto"/>
            <w:noWrap/>
            <w:vAlign w:val="center"/>
            <w:hideMark/>
          </w:tcPr>
          <w:p w14:paraId="334ED21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0.97 (0.86, 1.10)</w:t>
            </w:r>
          </w:p>
        </w:tc>
        <w:tc>
          <w:tcPr>
            <w:tcW w:w="360" w:type="pct"/>
            <w:tcBorders>
              <w:top w:val="nil"/>
              <w:left w:val="nil"/>
              <w:bottom w:val="nil"/>
              <w:right w:val="nil"/>
            </w:tcBorders>
            <w:shd w:val="clear" w:color="auto" w:fill="auto"/>
            <w:noWrap/>
            <w:vAlign w:val="center"/>
            <w:hideMark/>
          </w:tcPr>
          <w:p w14:paraId="71DFC53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19,726</w:t>
            </w:r>
          </w:p>
        </w:tc>
        <w:tc>
          <w:tcPr>
            <w:tcW w:w="796" w:type="pct"/>
            <w:tcBorders>
              <w:top w:val="nil"/>
              <w:left w:val="nil"/>
              <w:bottom w:val="nil"/>
              <w:right w:val="nil"/>
            </w:tcBorders>
            <w:shd w:val="clear" w:color="auto" w:fill="auto"/>
            <w:noWrap/>
            <w:vAlign w:val="center"/>
            <w:hideMark/>
          </w:tcPr>
          <w:p w14:paraId="309D42D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1.00 (0.91, 1.10)</w:t>
            </w:r>
          </w:p>
        </w:tc>
      </w:tr>
      <w:tr w:rsidR="00DD73FF" w:rsidRPr="00A858D5" w14:paraId="77D6693C" w14:textId="77777777" w:rsidTr="001745CB">
        <w:trPr>
          <w:trHeight w:val="320"/>
        </w:trPr>
        <w:tc>
          <w:tcPr>
            <w:tcW w:w="119" w:type="pct"/>
            <w:tcBorders>
              <w:top w:val="nil"/>
              <w:left w:val="nil"/>
              <w:bottom w:val="single" w:sz="4" w:space="0" w:color="auto"/>
              <w:right w:val="nil"/>
            </w:tcBorders>
            <w:shd w:val="clear" w:color="auto" w:fill="auto"/>
            <w:noWrap/>
            <w:vAlign w:val="center"/>
            <w:hideMark/>
          </w:tcPr>
          <w:p w14:paraId="319BEE4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center"/>
            <w:hideMark/>
          </w:tcPr>
          <w:p w14:paraId="4612078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9" w:type="pct"/>
            <w:tcBorders>
              <w:top w:val="nil"/>
              <w:left w:val="nil"/>
              <w:bottom w:val="single" w:sz="4" w:space="0" w:color="auto"/>
              <w:right w:val="nil"/>
            </w:tcBorders>
            <w:shd w:val="clear" w:color="auto" w:fill="auto"/>
            <w:noWrap/>
            <w:vAlign w:val="center"/>
            <w:hideMark/>
          </w:tcPr>
          <w:p w14:paraId="3CB7435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77" w:type="pct"/>
            <w:tcBorders>
              <w:top w:val="nil"/>
              <w:left w:val="nil"/>
              <w:bottom w:val="single" w:sz="4" w:space="0" w:color="auto"/>
              <w:right w:val="nil"/>
            </w:tcBorders>
            <w:shd w:val="clear" w:color="auto" w:fill="auto"/>
            <w:noWrap/>
            <w:vAlign w:val="center"/>
            <w:hideMark/>
          </w:tcPr>
          <w:p w14:paraId="5D9F727D"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360" w:type="pct"/>
            <w:tcBorders>
              <w:top w:val="nil"/>
              <w:left w:val="nil"/>
              <w:bottom w:val="single" w:sz="4" w:space="0" w:color="auto"/>
              <w:right w:val="nil"/>
            </w:tcBorders>
            <w:shd w:val="clear" w:color="auto" w:fill="auto"/>
            <w:noWrap/>
            <w:vAlign w:val="center"/>
            <w:hideMark/>
          </w:tcPr>
          <w:p w14:paraId="48F8185A"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54,401</w:t>
            </w:r>
          </w:p>
        </w:tc>
        <w:tc>
          <w:tcPr>
            <w:tcW w:w="796" w:type="pct"/>
            <w:tcBorders>
              <w:top w:val="nil"/>
              <w:left w:val="nil"/>
              <w:bottom w:val="single" w:sz="4" w:space="0" w:color="auto"/>
              <w:right w:val="nil"/>
            </w:tcBorders>
            <w:shd w:val="clear" w:color="auto" w:fill="auto"/>
            <w:noWrap/>
            <w:vAlign w:val="center"/>
            <w:hideMark/>
          </w:tcPr>
          <w:p w14:paraId="70CB009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(0.91, </w:t>
            </w:r>
            <w:proofErr w:type="gramStart"/>
            <w:r w:rsidRPr="00A858D5">
              <w:rPr>
                <w:rFonts w:ascii="Calibri" w:hAnsi="Calibri"/>
                <w:color w:val="000000"/>
                <w:sz w:val="21"/>
                <w:szCs w:val="21"/>
                <w:lang w:val="en-GB"/>
              </w:rPr>
              <w:t>0.99)*</w:t>
            </w:r>
            <w:proofErr w:type="gramEnd"/>
          </w:p>
        </w:tc>
        <w:tc>
          <w:tcPr>
            <w:tcW w:w="360" w:type="pct"/>
            <w:tcBorders>
              <w:top w:val="nil"/>
              <w:left w:val="nil"/>
              <w:bottom w:val="single" w:sz="4" w:space="0" w:color="auto"/>
              <w:right w:val="nil"/>
            </w:tcBorders>
            <w:shd w:val="clear" w:color="auto" w:fill="auto"/>
            <w:noWrap/>
            <w:vAlign w:val="center"/>
            <w:hideMark/>
          </w:tcPr>
          <w:p w14:paraId="36E2C77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20,084</w:t>
            </w:r>
          </w:p>
        </w:tc>
        <w:tc>
          <w:tcPr>
            <w:tcW w:w="796" w:type="pct"/>
            <w:tcBorders>
              <w:top w:val="nil"/>
              <w:left w:val="nil"/>
              <w:bottom w:val="single" w:sz="4" w:space="0" w:color="auto"/>
              <w:right w:val="nil"/>
            </w:tcBorders>
            <w:shd w:val="clear" w:color="auto" w:fill="auto"/>
            <w:noWrap/>
            <w:vAlign w:val="center"/>
            <w:hideMark/>
          </w:tcPr>
          <w:p w14:paraId="350C2BC7"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0.95 (0.88, 1.02)</w:t>
            </w:r>
          </w:p>
        </w:tc>
        <w:tc>
          <w:tcPr>
            <w:tcW w:w="360" w:type="pct"/>
            <w:tcBorders>
              <w:top w:val="nil"/>
              <w:left w:val="nil"/>
              <w:bottom w:val="single" w:sz="4" w:space="0" w:color="auto"/>
              <w:right w:val="nil"/>
            </w:tcBorders>
            <w:shd w:val="clear" w:color="auto" w:fill="auto"/>
            <w:noWrap/>
            <w:vAlign w:val="center"/>
            <w:hideMark/>
          </w:tcPr>
          <w:p w14:paraId="2EF8469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35,040</w:t>
            </w:r>
          </w:p>
        </w:tc>
        <w:tc>
          <w:tcPr>
            <w:tcW w:w="796" w:type="pct"/>
            <w:tcBorders>
              <w:top w:val="nil"/>
              <w:left w:val="nil"/>
              <w:bottom w:val="single" w:sz="4" w:space="0" w:color="auto"/>
              <w:right w:val="nil"/>
            </w:tcBorders>
            <w:shd w:val="clear" w:color="auto" w:fill="auto"/>
            <w:noWrap/>
            <w:vAlign w:val="center"/>
            <w:hideMark/>
          </w:tcPr>
          <w:p w14:paraId="05B7D0E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0.96 (0.90, 1.03)</w:t>
            </w:r>
          </w:p>
        </w:tc>
      </w:tr>
    </w:tbl>
    <w:p w14:paraId="779026E4" w14:textId="3CAC2E79" w:rsidR="00DD73FF" w:rsidRPr="00A858D5" w:rsidRDefault="00DD73FF" w:rsidP="00DD73FF">
      <w:pPr>
        <w:rPr>
          <w:lang w:val="en-GB"/>
        </w:rPr>
      </w:pPr>
    </w:p>
    <w:p w14:paraId="347FB146" w14:textId="6E37A6BC" w:rsidR="00FB24A3" w:rsidRPr="00A858D5" w:rsidRDefault="00FB24A3" w:rsidP="00DD73FF">
      <w:pPr>
        <w:rPr>
          <w:rFonts w:cstheme="minorHAnsi"/>
          <w:szCs w:val="22"/>
          <w:lang w:val="en-GB"/>
        </w:rPr>
      </w:pPr>
      <w:r w:rsidRPr="00A858D5">
        <w:rPr>
          <w:rFonts w:cstheme="minorHAnsi"/>
          <w:b/>
          <w:bCs/>
          <w:szCs w:val="22"/>
          <w:lang w:val="en-GB"/>
        </w:rPr>
        <w:t xml:space="preserve">Table 3. </w:t>
      </w:r>
      <w:r w:rsidRPr="00A858D5">
        <w:rPr>
          <w:rFonts w:cstheme="minorHAnsi"/>
          <w:szCs w:val="22"/>
          <w:lang w:val="en-GB"/>
        </w:rPr>
        <w:t>Adjusted associations and 95%CI between IQR increments of residential surrounding greenness and perceived neighbourhood greenness and poor self-perceived health (OR), stratified by gender, educational attainment and migrant background. Brussels Capital Region, 2001.</w:t>
      </w:r>
    </w:p>
    <w:p w14:paraId="70310205" w14:textId="77777777" w:rsidR="00DD73FF" w:rsidRPr="00A858D5" w:rsidRDefault="00DD73FF" w:rsidP="00DD73FF">
      <w:pPr>
        <w:rPr>
          <w:lang w:val="en-GB"/>
        </w:rPr>
      </w:pPr>
    </w:p>
    <w:p w14:paraId="23276A23" w14:textId="77777777" w:rsidR="00DD73FF" w:rsidRPr="00A858D5" w:rsidRDefault="00DD73FF" w:rsidP="00DD73FF">
      <w:pPr>
        <w:rPr>
          <w:lang w:val="en-GB"/>
        </w:rPr>
      </w:pPr>
      <w:r w:rsidRPr="00A858D5">
        <w:rPr>
          <w:lang w:val="en-GB"/>
        </w:rPr>
        <w:br w:type="page"/>
      </w:r>
    </w:p>
    <w:p w14:paraId="65573AD9" w14:textId="77777777" w:rsidR="00DD73FF" w:rsidRPr="00A858D5" w:rsidRDefault="00DD73FF" w:rsidP="00DD73FF">
      <w:pPr>
        <w:rPr>
          <w:lang w:val="en-GB"/>
        </w:rPr>
      </w:pPr>
    </w:p>
    <w:tbl>
      <w:tblPr>
        <w:tblW w:w="5000" w:type="pct"/>
        <w:tblLook w:val="04A0" w:firstRow="1" w:lastRow="0" w:firstColumn="1" w:lastColumn="0" w:noHBand="0" w:noVBand="1"/>
      </w:tblPr>
      <w:tblGrid>
        <w:gridCol w:w="420"/>
        <w:gridCol w:w="417"/>
        <w:gridCol w:w="417"/>
        <w:gridCol w:w="3136"/>
        <w:gridCol w:w="1034"/>
        <w:gridCol w:w="2156"/>
        <w:gridCol w:w="1034"/>
        <w:gridCol w:w="2156"/>
        <w:gridCol w:w="1034"/>
        <w:gridCol w:w="2156"/>
      </w:tblGrid>
      <w:tr w:rsidR="00DD73FF" w:rsidRPr="00A858D5" w14:paraId="6BF7833E" w14:textId="77777777" w:rsidTr="001745CB">
        <w:trPr>
          <w:trHeight w:val="320"/>
        </w:trPr>
        <w:tc>
          <w:tcPr>
            <w:tcW w:w="135" w:type="pct"/>
            <w:tcBorders>
              <w:top w:val="single" w:sz="4" w:space="0" w:color="auto"/>
              <w:left w:val="nil"/>
              <w:bottom w:val="single" w:sz="4" w:space="0" w:color="auto"/>
              <w:right w:val="nil"/>
            </w:tcBorders>
            <w:shd w:val="clear" w:color="auto" w:fill="auto"/>
            <w:noWrap/>
            <w:vAlign w:val="bottom"/>
            <w:hideMark/>
          </w:tcPr>
          <w:p w14:paraId="5E79849A"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single" w:sz="4" w:space="0" w:color="auto"/>
              <w:left w:val="nil"/>
              <w:bottom w:val="single" w:sz="4" w:space="0" w:color="auto"/>
              <w:right w:val="nil"/>
            </w:tcBorders>
            <w:shd w:val="clear" w:color="auto" w:fill="auto"/>
            <w:noWrap/>
            <w:vAlign w:val="bottom"/>
            <w:hideMark/>
          </w:tcPr>
          <w:p w14:paraId="76E0E5C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single" w:sz="4" w:space="0" w:color="auto"/>
              <w:left w:val="nil"/>
              <w:bottom w:val="single" w:sz="4" w:space="0" w:color="auto"/>
              <w:right w:val="nil"/>
            </w:tcBorders>
            <w:shd w:val="clear" w:color="auto" w:fill="auto"/>
            <w:noWrap/>
            <w:vAlign w:val="bottom"/>
            <w:hideMark/>
          </w:tcPr>
          <w:p w14:paraId="2CDB06D7"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49" w:type="pct"/>
            <w:tcBorders>
              <w:top w:val="single" w:sz="4" w:space="0" w:color="auto"/>
              <w:left w:val="nil"/>
              <w:bottom w:val="single" w:sz="4" w:space="0" w:color="auto"/>
              <w:right w:val="nil"/>
            </w:tcBorders>
            <w:shd w:val="clear" w:color="auto" w:fill="auto"/>
            <w:noWrap/>
            <w:vAlign w:val="bottom"/>
            <w:hideMark/>
          </w:tcPr>
          <w:p w14:paraId="69A224F8"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447" w:type="pct"/>
            <w:gridSpan w:val="6"/>
            <w:tcBorders>
              <w:top w:val="single" w:sz="4" w:space="0" w:color="auto"/>
              <w:left w:val="nil"/>
              <w:bottom w:val="single" w:sz="4" w:space="0" w:color="auto"/>
              <w:right w:val="nil"/>
            </w:tcBorders>
            <w:shd w:val="clear" w:color="auto" w:fill="auto"/>
            <w:noWrap/>
            <w:vAlign w:val="center"/>
            <w:hideMark/>
          </w:tcPr>
          <w:p w14:paraId="0C712726"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Poor self-perceived health</w:t>
            </w:r>
          </w:p>
        </w:tc>
      </w:tr>
      <w:tr w:rsidR="00DD73FF" w:rsidRPr="00A858D5" w14:paraId="6614D82E" w14:textId="77777777" w:rsidTr="001745CB">
        <w:trPr>
          <w:trHeight w:val="320"/>
        </w:trPr>
        <w:tc>
          <w:tcPr>
            <w:tcW w:w="135" w:type="pct"/>
            <w:tcBorders>
              <w:top w:val="nil"/>
              <w:left w:val="nil"/>
              <w:bottom w:val="single" w:sz="4" w:space="0" w:color="auto"/>
              <w:right w:val="nil"/>
            </w:tcBorders>
            <w:shd w:val="clear" w:color="auto" w:fill="auto"/>
            <w:noWrap/>
            <w:vAlign w:val="bottom"/>
            <w:hideMark/>
          </w:tcPr>
          <w:p w14:paraId="1172C25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bottom"/>
            <w:hideMark/>
          </w:tcPr>
          <w:p w14:paraId="7A96046D"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bottom"/>
            <w:hideMark/>
          </w:tcPr>
          <w:p w14:paraId="6834C9B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49" w:type="pct"/>
            <w:tcBorders>
              <w:top w:val="nil"/>
              <w:left w:val="nil"/>
              <w:bottom w:val="single" w:sz="4" w:space="0" w:color="auto"/>
              <w:right w:val="nil"/>
            </w:tcBorders>
            <w:shd w:val="clear" w:color="auto" w:fill="auto"/>
            <w:noWrap/>
            <w:vAlign w:val="bottom"/>
            <w:hideMark/>
          </w:tcPr>
          <w:p w14:paraId="4C2BAF6C"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447" w:type="pct"/>
            <w:gridSpan w:val="6"/>
            <w:tcBorders>
              <w:top w:val="single" w:sz="4" w:space="0" w:color="auto"/>
              <w:left w:val="nil"/>
              <w:bottom w:val="single" w:sz="4" w:space="0" w:color="auto"/>
              <w:right w:val="nil"/>
            </w:tcBorders>
            <w:shd w:val="clear" w:color="auto" w:fill="auto"/>
            <w:noWrap/>
            <w:vAlign w:val="center"/>
            <w:hideMark/>
          </w:tcPr>
          <w:p w14:paraId="42F5ADAF"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Migrant background</w:t>
            </w:r>
          </w:p>
        </w:tc>
      </w:tr>
      <w:tr w:rsidR="00DD73FF" w:rsidRPr="00A858D5" w14:paraId="1D8F658C" w14:textId="77777777" w:rsidTr="001745CB">
        <w:trPr>
          <w:trHeight w:val="320"/>
        </w:trPr>
        <w:tc>
          <w:tcPr>
            <w:tcW w:w="135" w:type="pct"/>
            <w:tcBorders>
              <w:top w:val="nil"/>
              <w:left w:val="nil"/>
              <w:bottom w:val="single" w:sz="4" w:space="0" w:color="auto"/>
              <w:right w:val="nil"/>
            </w:tcBorders>
            <w:shd w:val="clear" w:color="auto" w:fill="auto"/>
            <w:noWrap/>
            <w:vAlign w:val="bottom"/>
            <w:hideMark/>
          </w:tcPr>
          <w:p w14:paraId="48B6531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bottom"/>
            <w:hideMark/>
          </w:tcPr>
          <w:p w14:paraId="159EBFA0"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bottom"/>
            <w:hideMark/>
          </w:tcPr>
          <w:p w14:paraId="062A12ED"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49" w:type="pct"/>
            <w:tcBorders>
              <w:top w:val="nil"/>
              <w:left w:val="nil"/>
              <w:bottom w:val="single" w:sz="4" w:space="0" w:color="auto"/>
              <w:right w:val="nil"/>
            </w:tcBorders>
            <w:shd w:val="clear" w:color="auto" w:fill="auto"/>
            <w:noWrap/>
            <w:vAlign w:val="bottom"/>
            <w:hideMark/>
          </w:tcPr>
          <w:p w14:paraId="1724D19C"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49" w:type="pct"/>
            <w:gridSpan w:val="2"/>
            <w:tcBorders>
              <w:top w:val="single" w:sz="4" w:space="0" w:color="auto"/>
              <w:left w:val="nil"/>
              <w:bottom w:val="single" w:sz="4" w:space="0" w:color="auto"/>
              <w:right w:val="nil"/>
            </w:tcBorders>
            <w:shd w:val="clear" w:color="auto" w:fill="auto"/>
            <w:noWrap/>
            <w:vAlign w:val="center"/>
            <w:hideMark/>
          </w:tcPr>
          <w:p w14:paraId="7A8A1A65"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Belgian</w:t>
            </w:r>
          </w:p>
        </w:tc>
        <w:tc>
          <w:tcPr>
            <w:tcW w:w="1149" w:type="pct"/>
            <w:gridSpan w:val="2"/>
            <w:tcBorders>
              <w:top w:val="single" w:sz="4" w:space="0" w:color="auto"/>
              <w:left w:val="nil"/>
              <w:bottom w:val="single" w:sz="4" w:space="0" w:color="auto"/>
              <w:right w:val="nil"/>
            </w:tcBorders>
            <w:shd w:val="clear" w:color="auto" w:fill="auto"/>
            <w:noWrap/>
            <w:vAlign w:val="center"/>
            <w:hideMark/>
          </w:tcPr>
          <w:p w14:paraId="1F2394E5"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Other HIC</w:t>
            </w:r>
          </w:p>
        </w:tc>
        <w:tc>
          <w:tcPr>
            <w:tcW w:w="1149" w:type="pct"/>
            <w:gridSpan w:val="2"/>
            <w:tcBorders>
              <w:top w:val="single" w:sz="4" w:space="0" w:color="auto"/>
              <w:left w:val="nil"/>
              <w:bottom w:val="single" w:sz="4" w:space="0" w:color="auto"/>
              <w:right w:val="nil"/>
            </w:tcBorders>
            <w:shd w:val="clear" w:color="auto" w:fill="auto"/>
            <w:noWrap/>
            <w:vAlign w:val="center"/>
            <w:hideMark/>
          </w:tcPr>
          <w:p w14:paraId="3313E6F0"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LMIC</w:t>
            </w:r>
          </w:p>
        </w:tc>
      </w:tr>
      <w:tr w:rsidR="00DD73FF" w:rsidRPr="00A858D5" w14:paraId="5F7B06F7" w14:textId="77777777" w:rsidTr="001745CB">
        <w:trPr>
          <w:trHeight w:val="320"/>
        </w:trPr>
        <w:tc>
          <w:tcPr>
            <w:tcW w:w="135" w:type="pct"/>
            <w:tcBorders>
              <w:top w:val="nil"/>
              <w:left w:val="nil"/>
              <w:bottom w:val="single" w:sz="4" w:space="0" w:color="auto"/>
              <w:right w:val="nil"/>
            </w:tcBorders>
            <w:shd w:val="clear" w:color="auto" w:fill="auto"/>
            <w:noWrap/>
            <w:vAlign w:val="bottom"/>
            <w:hideMark/>
          </w:tcPr>
          <w:p w14:paraId="213775F7"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bottom"/>
            <w:hideMark/>
          </w:tcPr>
          <w:p w14:paraId="67B550D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bottom"/>
            <w:hideMark/>
          </w:tcPr>
          <w:p w14:paraId="31EBD06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49" w:type="pct"/>
            <w:tcBorders>
              <w:top w:val="nil"/>
              <w:left w:val="nil"/>
              <w:bottom w:val="single" w:sz="4" w:space="0" w:color="auto"/>
              <w:right w:val="nil"/>
            </w:tcBorders>
            <w:shd w:val="clear" w:color="auto" w:fill="auto"/>
            <w:noWrap/>
            <w:vAlign w:val="bottom"/>
            <w:hideMark/>
          </w:tcPr>
          <w:p w14:paraId="3EA5E58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65" w:type="pct"/>
            <w:tcBorders>
              <w:top w:val="nil"/>
              <w:left w:val="nil"/>
              <w:bottom w:val="single" w:sz="4" w:space="0" w:color="auto"/>
              <w:right w:val="nil"/>
            </w:tcBorders>
            <w:shd w:val="clear" w:color="auto" w:fill="auto"/>
            <w:noWrap/>
            <w:vAlign w:val="center"/>
            <w:hideMark/>
          </w:tcPr>
          <w:p w14:paraId="7D62CF58"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784" w:type="pct"/>
            <w:tcBorders>
              <w:top w:val="nil"/>
              <w:left w:val="nil"/>
              <w:bottom w:val="single" w:sz="4" w:space="0" w:color="auto"/>
              <w:right w:val="nil"/>
            </w:tcBorders>
            <w:shd w:val="clear" w:color="auto" w:fill="auto"/>
            <w:noWrap/>
            <w:vAlign w:val="center"/>
            <w:hideMark/>
          </w:tcPr>
          <w:p w14:paraId="52B94D5E"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OR (95%CI)</w:t>
            </w:r>
          </w:p>
        </w:tc>
        <w:tc>
          <w:tcPr>
            <w:tcW w:w="365" w:type="pct"/>
            <w:tcBorders>
              <w:top w:val="nil"/>
              <w:left w:val="nil"/>
              <w:bottom w:val="single" w:sz="4" w:space="0" w:color="auto"/>
              <w:right w:val="nil"/>
            </w:tcBorders>
            <w:shd w:val="clear" w:color="auto" w:fill="auto"/>
            <w:noWrap/>
            <w:vAlign w:val="center"/>
            <w:hideMark/>
          </w:tcPr>
          <w:p w14:paraId="29D9E64B"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784" w:type="pct"/>
            <w:tcBorders>
              <w:top w:val="nil"/>
              <w:left w:val="nil"/>
              <w:bottom w:val="single" w:sz="4" w:space="0" w:color="auto"/>
              <w:right w:val="nil"/>
            </w:tcBorders>
            <w:shd w:val="clear" w:color="auto" w:fill="auto"/>
            <w:noWrap/>
            <w:vAlign w:val="center"/>
            <w:hideMark/>
          </w:tcPr>
          <w:p w14:paraId="2764883D"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OR (95%CI)</w:t>
            </w:r>
          </w:p>
        </w:tc>
        <w:tc>
          <w:tcPr>
            <w:tcW w:w="365" w:type="pct"/>
            <w:tcBorders>
              <w:top w:val="nil"/>
              <w:left w:val="nil"/>
              <w:bottom w:val="single" w:sz="4" w:space="0" w:color="auto"/>
              <w:right w:val="nil"/>
            </w:tcBorders>
            <w:shd w:val="clear" w:color="auto" w:fill="auto"/>
            <w:noWrap/>
            <w:vAlign w:val="center"/>
            <w:hideMark/>
          </w:tcPr>
          <w:p w14:paraId="56CB6074"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784" w:type="pct"/>
            <w:tcBorders>
              <w:top w:val="nil"/>
              <w:left w:val="nil"/>
              <w:bottom w:val="single" w:sz="4" w:space="0" w:color="auto"/>
              <w:right w:val="nil"/>
            </w:tcBorders>
            <w:shd w:val="clear" w:color="auto" w:fill="auto"/>
            <w:noWrap/>
            <w:vAlign w:val="center"/>
            <w:hideMark/>
          </w:tcPr>
          <w:p w14:paraId="5340293E"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OR (95%CI)</w:t>
            </w:r>
          </w:p>
        </w:tc>
      </w:tr>
      <w:tr w:rsidR="00DD73FF" w:rsidRPr="00A858D5" w14:paraId="4656B696" w14:textId="77777777" w:rsidTr="001745CB">
        <w:trPr>
          <w:trHeight w:val="320"/>
        </w:trPr>
        <w:tc>
          <w:tcPr>
            <w:tcW w:w="1553" w:type="pct"/>
            <w:gridSpan w:val="4"/>
            <w:tcBorders>
              <w:top w:val="single" w:sz="4" w:space="0" w:color="auto"/>
              <w:left w:val="nil"/>
              <w:bottom w:val="single" w:sz="4" w:space="0" w:color="auto"/>
              <w:right w:val="nil"/>
            </w:tcBorders>
            <w:shd w:val="clear" w:color="auto" w:fill="auto"/>
            <w:noWrap/>
            <w:vAlign w:val="center"/>
            <w:hideMark/>
          </w:tcPr>
          <w:p w14:paraId="0DC70A99"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Perceived neighbourhood greenness</w:t>
            </w:r>
          </w:p>
        </w:tc>
        <w:tc>
          <w:tcPr>
            <w:tcW w:w="365" w:type="pct"/>
            <w:tcBorders>
              <w:top w:val="nil"/>
              <w:left w:val="nil"/>
              <w:bottom w:val="single" w:sz="4" w:space="0" w:color="auto"/>
              <w:right w:val="nil"/>
            </w:tcBorders>
            <w:shd w:val="clear" w:color="auto" w:fill="auto"/>
            <w:noWrap/>
            <w:vAlign w:val="center"/>
            <w:hideMark/>
          </w:tcPr>
          <w:p w14:paraId="27EE5365"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7D020BED"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529072D1"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0A918F2D"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0D2E5D42"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46BC7163" w14:textId="77777777" w:rsidR="00DD73FF" w:rsidRPr="00A858D5" w:rsidRDefault="00DD73FF" w:rsidP="001745CB">
            <w:pPr>
              <w:jc w:val="center"/>
              <w:rPr>
                <w:rFonts w:ascii="Calibri" w:hAnsi="Calibri"/>
                <w:color w:val="000000"/>
                <w:sz w:val="21"/>
                <w:szCs w:val="21"/>
                <w:lang w:val="en-GB"/>
              </w:rPr>
            </w:pPr>
          </w:p>
        </w:tc>
      </w:tr>
      <w:tr w:rsidR="00DD73FF" w:rsidRPr="00A858D5" w14:paraId="7BA989CD" w14:textId="77777777" w:rsidTr="001745CB">
        <w:trPr>
          <w:trHeight w:val="320"/>
        </w:trPr>
        <w:tc>
          <w:tcPr>
            <w:tcW w:w="135" w:type="pct"/>
            <w:tcBorders>
              <w:top w:val="nil"/>
              <w:left w:val="nil"/>
              <w:bottom w:val="single" w:sz="4" w:space="0" w:color="auto"/>
              <w:right w:val="nil"/>
            </w:tcBorders>
            <w:shd w:val="clear" w:color="auto" w:fill="auto"/>
            <w:noWrap/>
            <w:vAlign w:val="center"/>
            <w:hideMark/>
          </w:tcPr>
          <w:p w14:paraId="07A7673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418" w:type="pct"/>
            <w:gridSpan w:val="3"/>
            <w:tcBorders>
              <w:top w:val="single" w:sz="4" w:space="0" w:color="auto"/>
              <w:left w:val="nil"/>
              <w:bottom w:val="single" w:sz="4" w:space="0" w:color="auto"/>
              <w:right w:val="nil"/>
            </w:tcBorders>
            <w:shd w:val="clear" w:color="auto" w:fill="auto"/>
            <w:noWrap/>
            <w:vAlign w:val="center"/>
            <w:hideMark/>
          </w:tcPr>
          <w:p w14:paraId="3C308BB1"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Women</w:t>
            </w:r>
          </w:p>
        </w:tc>
        <w:tc>
          <w:tcPr>
            <w:tcW w:w="365" w:type="pct"/>
            <w:tcBorders>
              <w:top w:val="nil"/>
              <w:left w:val="nil"/>
              <w:bottom w:val="single" w:sz="4" w:space="0" w:color="auto"/>
              <w:right w:val="nil"/>
            </w:tcBorders>
            <w:shd w:val="clear" w:color="auto" w:fill="auto"/>
            <w:noWrap/>
            <w:vAlign w:val="center"/>
            <w:hideMark/>
          </w:tcPr>
          <w:p w14:paraId="2D6BDACC"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1DB58141"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572C567B"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5AFE8B8B"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723C2BAF"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0964D0C3" w14:textId="77777777" w:rsidR="00DD73FF" w:rsidRPr="00A858D5" w:rsidRDefault="00DD73FF" w:rsidP="001745CB">
            <w:pPr>
              <w:jc w:val="center"/>
              <w:rPr>
                <w:rFonts w:ascii="Calibri" w:hAnsi="Calibri"/>
                <w:color w:val="000000"/>
                <w:sz w:val="21"/>
                <w:szCs w:val="21"/>
                <w:lang w:val="en-GB"/>
              </w:rPr>
            </w:pPr>
          </w:p>
        </w:tc>
      </w:tr>
      <w:tr w:rsidR="00DD73FF" w:rsidRPr="00A858D5" w14:paraId="643E0C11" w14:textId="77777777" w:rsidTr="001745CB">
        <w:trPr>
          <w:trHeight w:val="320"/>
        </w:trPr>
        <w:tc>
          <w:tcPr>
            <w:tcW w:w="135" w:type="pct"/>
            <w:tcBorders>
              <w:top w:val="nil"/>
              <w:left w:val="nil"/>
              <w:bottom w:val="single" w:sz="4" w:space="0" w:color="auto"/>
              <w:right w:val="nil"/>
            </w:tcBorders>
            <w:shd w:val="clear" w:color="auto" w:fill="auto"/>
            <w:noWrap/>
            <w:vAlign w:val="center"/>
            <w:hideMark/>
          </w:tcPr>
          <w:p w14:paraId="321869D2"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center"/>
            <w:hideMark/>
          </w:tcPr>
          <w:p w14:paraId="6DA069F0"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 </w:t>
            </w:r>
          </w:p>
        </w:tc>
        <w:tc>
          <w:tcPr>
            <w:tcW w:w="1283" w:type="pct"/>
            <w:gridSpan w:val="2"/>
            <w:tcBorders>
              <w:top w:val="single" w:sz="4" w:space="0" w:color="auto"/>
              <w:left w:val="nil"/>
              <w:bottom w:val="single" w:sz="4" w:space="0" w:color="auto"/>
              <w:right w:val="nil"/>
            </w:tcBorders>
            <w:shd w:val="clear" w:color="auto" w:fill="auto"/>
            <w:noWrap/>
            <w:vAlign w:val="center"/>
            <w:hideMark/>
          </w:tcPr>
          <w:p w14:paraId="3E0D156C"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365" w:type="pct"/>
            <w:tcBorders>
              <w:top w:val="nil"/>
              <w:left w:val="nil"/>
              <w:bottom w:val="single" w:sz="4" w:space="0" w:color="auto"/>
              <w:right w:val="nil"/>
            </w:tcBorders>
            <w:shd w:val="clear" w:color="auto" w:fill="auto"/>
            <w:noWrap/>
            <w:vAlign w:val="center"/>
            <w:hideMark/>
          </w:tcPr>
          <w:p w14:paraId="16FBA62E"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4F22F34C"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0ADC9A7B"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4C1F1B6D"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606C0E05"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2C62C576" w14:textId="77777777" w:rsidR="00DD73FF" w:rsidRPr="00A858D5" w:rsidRDefault="00DD73FF" w:rsidP="001745CB">
            <w:pPr>
              <w:jc w:val="center"/>
              <w:rPr>
                <w:rFonts w:ascii="Calibri" w:hAnsi="Calibri"/>
                <w:color w:val="000000"/>
                <w:sz w:val="21"/>
                <w:szCs w:val="21"/>
                <w:lang w:val="en-GB"/>
              </w:rPr>
            </w:pPr>
          </w:p>
        </w:tc>
      </w:tr>
      <w:tr w:rsidR="00DD73FF" w:rsidRPr="00A858D5" w14:paraId="172BA30B" w14:textId="77777777" w:rsidTr="001745CB">
        <w:trPr>
          <w:trHeight w:val="320"/>
        </w:trPr>
        <w:tc>
          <w:tcPr>
            <w:tcW w:w="135" w:type="pct"/>
            <w:tcBorders>
              <w:top w:val="nil"/>
              <w:left w:val="nil"/>
              <w:bottom w:val="nil"/>
              <w:right w:val="nil"/>
            </w:tcBorders>
            <w:shd w:val="clear" w:color="auto" w:fill="auto"/>
            <w:noWrap/>
            <w:vAlign w:val="center"/>
            <w:hideMark/>
          </w:tcPr>
          <w:p w14:paraId="3B61DDF7" w14:textId="77777777" w:rsidR="00DD73FF" w:rsidRPr="00A858D5" w:rsidRDefault="00DD73FF" w:rsidP="001745CB">
            <w:pPr>
              <w:rPr>
                <w:rFonts w:ascii="Calibri" w:hAnsi="Calibri"/>
                <w:color w:val="000000"/>
                <w:sz w:val="21"/>
                <w:szCs w:val="21"/>
                <w:lang w:val="en-GB"/>
              </w:rPr>
            </w:pPr>
          </w:p>
        </w:tc>
        <w:tc>
          <w:tcPr>
            <w:tcW w:w="134" w:type="pct"/>
            <w:tcBorders>
              <w:top w:val="nil"/>
              <w:left w:val="nil"/>
              <w:bottom w:val="nil"/>
              <w:right w:val="nil"/>
            </w:tcBorders>
            <w:shd w:val="clear" w:color="auto" w:fill="auto"/>
            <w:noWrap/>
            <w:vAlign w:val="center"/>
            <w:hideMark/>
          </w:tcPr>
          <w:p w14:paraId="348D14E3" w14:textId="77777777" w:rsidR="00DD73FF" w:rsidRPr="00A858D5" w:rsidRDefault="00DD73FF" w:rsidP="001745CB">
            <w:pPr>
              <w:rPr>
                <w:rFonts w:ascii="Times New Roman" w:hAnsi="Times New Roman"/>
                <w:sz w:val="21"/>
                <w:szCs w:val="21"/>
                <w:lang w:val="en-GB"/>
              </w:rPr>
            </w:pPr>
          </w:p>
        </w:tc>
        <w:tc>
          <w:tcPr>
            <w:tcW w:w="134" w:type="pct"/>
            <w:tcBorders>
              <w:top w:val="nil"/>
              <w:left w:val="nil"/>
              <w:bottom w:val="nil"/>
              <w:right w:val="nil"/>
            </w:tcBorders>
            <w:shd w:val="clear" w:color="auto" w:fill="auto"/>
            <w:noWrap/>
            <w:vAlign w:val="center"/>
            <w:hideMark/>
          </w:tcPr>
          <w:p w14:paraId="23671F3C" w14:textId="77777777" w:rsidR="00DD73FF" w:rsidRPr="00A858D5" w:rsidRDefault="00DD73FF" w:rsidP="001745CB">
            <w:pPr>
              <w:rPr>
                <w:rFonts w:ascii="Times New Roman" w:hAnsi="Times New Roman"/>
                <w:sz w:val="21"/>
                <w:szCs w:val="21"/>
                <w:lang w:val="en-GB"/>
              </w:rPr>
            </w:pPr>
          </w:p>
        </w:tc>
        <w:tc>
          <w:tcPr>
            <w:tcW w:w="1149" w:type="pct"/>
            <w:tcBorders>
              <w:top w:val="nil"/>
              <w:left w:val="nil"/>
              <w:bottom w:val="nil"/>
              <w:right w:val="nil"/>
            </w:tcBorders>
            <w:shd w:val="clear" w:color="auto" w:fill="auto"/>
            <w:noWrap/>
            <w:vAlign w:val="center"/>
            <w:hideMark/>
          </w:tcPr>
          <w:p w14:paraId="4626014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365" w:type="pct"/>
            <w:tcBorders>
              <w:top w:val="nil"/>
              <w:left w:val="nil"/>
              <w:bottom w:val="nil"/>
              <w:right w:val="nil"/>
            </w:tcBorders>
            <w:shd w:val="clear" w:color="auto" w:fill="auto"/>
            <w:noWrap/>
            <w:vAlign w:val="center"/>
            <w:hideMark/>
          </w:tcPr>
          <w:p w14:paraId="3B0D1C9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62,493</w:t>
            </w:r>
          </w:p>
        </w:tc>
        <w:tc>
          <w:tcPr>
            <w:tcW w:w="784" w:type="pct"/>
            <w:tcBorders>
              <w:top w:val="nil"/>
              <w:left w:val="nil"/>
              <w:bottom w:val="nil"/>
              <w:right w:val="nil"/>
            </w:tcBorders>
            <w:shd w:val="clear" w:color="auto" w:fill="auto"/>
            <w:noWrap/>
            <w:vAlign w:val="center"/>
            <w:hideMark/>
          </w:tcPr>
          <w:p w14:paraId="010EFED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1.01 (0.96, 1.07)</w:t>
            </w:r>
          </w:p>
        </w:tc>
        <w:tc>
          <w:tcPr>
            <w:tcW w:w="365" w:type="pct"/>
            <w:tcBorders>
              <w:top w:val="nil"/>
              <w:left w:val="nil"/>
              <w:bottom w:val="nil"/>
              <w:right w:val="nil"/>
            </w:tcBorders>
            <w:shd w:val="clear" w:color="auto" w:fill="auto"/>
            <w:noWrap/>
            <w:vAlign w:val="center"/>
            <w:hideMark/>
          </w:tcPr>
          <w:p w14:paraId="3752344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21,610</w:t>
            </w:r>
          </w:p>
        </w:tc>
        <w:tc>
          <w:tcPr>
            <w:tcW w:w="784" w:type="pct"/>
            <w:tcBorders>
              <w:top w:val="nil"/>
              <w:left w:val="nil"/>
              <w:bottom w:val="nil"/>
              <w:right w:val="nil"/>
            </w:tcBorders>
            <w:shd w:val="clear" w:color="auto" w:fill="auto"/>
            <w:noWrap/>
            <w:vAlign w:val="center"/>
            <w:hideMark/>
          </w:tcPr>
          <w:p w14:paraId="67AB480D"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1.04 (0.93, 1.16)</w:t>
            </w:r>
          </w:p>
        </w:tc>
        <w:tc>
          <w:tcPr>
            <w:tcW w:w="365" w:type="pct"/>
            <w:tcBorders>
              <w:top w:val="nil"/>
              <w:left w:val="nil"/>
              <w:bottom w:val="nil"/>
              <w:right w:val="nil"/>
            </w:tcBorders>
            <w:shd w:val="clear" w:color="auto" w:fill="auto"/>
            <w:noWrap/>
            <w:vAlign w:val="center"/>
            <w:hideMark/>
          </w:tcPr>
          <w:p w14:paraId="30F806F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13,698</w:t>
            </w:r>
          </w:p>
        </w:tc>
        <w:tc>
          <w:tcPr>
            <w:tcW w:w="784" w:type="pct"/>
            <w:tcBorders>
              <w:top w:val="nil"/>
              <w:left w:val="nil"/>
              <w:bottom w:val="nil"/>
              <w:right w:val="nil"/>
            </w:tcBorders>
            <w:shd w:val="clear" w:color="auto" w:fill="auto"/>
            <w:noWrap/>
            <w:vAlign w:val="center"/>
            <w:hideMark/>
          </w:tcPr>
          <w:p w14:paraId="36312A2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0.94 (0.84, 1.05)</w:t>
            </w:r>
          </w:p>
        </w:tc>
      </w:tr>
      <w:tr w:rsidR="00DD73FF" w:rsidRPr="00A858D5" w14:paraId="74E75BBA" w14:textId="77777777" w:rsidTr="001745CB">
        <w:trPr>
          <w:trHeight w:val="320"/>
        </w:trPr>
        <w:tc>
          <w:tcPr>
            <w:tcW w:w="135" w:type="pct"/>
            <w:tcBorders>
              <w:top w:val="nil"/>
              <w:left w:val="nil"/>
              <w:bottom w:val="nil"/>
              <w:right w:val="nil"/>
            </w:tcBorders>
            <w:shd w:val="clear" w:color="auto" w:fill="auto"/>
            <w:noWrap/>
            <w:vAlign w:val="center"/>
            <w:hideMark/>
          </w:tcPr>
          <w:p w14:paraId="001A944C" w14:textId="77777777" w:rsidR="00DD73FF" w:rsidRPr="00A858D5" w:rsidRDefault="00DD73FF" w:rsidP="001745CB">
            <w:pPr>
              <w:rPr>
                <w:rFonts w:ascii="Calibri" w:hAnsi="Calibri"/>
                <w:color w:val="000000"/>
                <w:sz w:val="21"/>
                <w:szCs w:val="21"/>
                <w:lang w:val="en-GB"/>
              </w:rPr>
            </w:pPr>
          </w:p>
        </w:tc>
        <w:tc>
          <w:tcPr>
            <w:tcW w:w="134" w:type="pct"/>
            <w:tcBorders>
              <w:top w:val="nil"/>
              <w:left w:val="nil"/>
              <w:bottom w:val="nil"/>
              <w:right w:val="nil"/>
            </w:tcBorders>
            <w:shd w:val="clear" w:color="auto" w:fill="auto"/>
            <w:noWrap/>
            <w:vAlign w:val="center"/>
            <w:hideMark/>
          </w:tcPr>
          <w:p w14:paraId="16B7DD09" w14:textId="77777777" w:rsidR="00DD73FF" w:rsidRPr="00A858D5" w:rsidRDefault="00DD73FF" w:rsidP="001745CB">
            <w:pPr>
              <w:rPr>
                <w:rFonts w:ascii="Times New Roman" w:hAnsi="Times New Roman"/>
                <w:sz w:val="21"/>
                <w:szCs w:val="21"/>
                <w:lang w:val="en-GB"/>
              </w:rPr>
            </w:pPr>
          </w:p>
        </w:tc>
        <w:tc>
          <w:tcPr>
            <w:tcW w:w="134" w:type="pct"/>
            <w:tcBorders>
              <w:top w:val="nil"/>
              <w:left w:val="nil"/>
              <w:bottom w:val="nil"/>
              <w:right w:val="nil"/>
            </w:tcBorders>
            <w:shd w:val="clear" w:color="auto" w:fill="auto"/>
            <w:noWrap/>
            <w:vAlign w:val="center"/>
            <w:hideMark/>
          </w:tcPr>
          <w:p w14:paraId="26A7694E" w14:textId="77777777" w:rsidR="00DD73FF" w:rsidRPr="00A858D5" w:rsidRDefault="00DD73FF" w:rsidP="001745CB">
            <w:pPr>
              <w:rPr>
                <w:rFonts w:ascii="Times New Roman" w:hAnsi="Times New Roman"/>
                <w:sz w:val="21"/>
                <w:szCs w:val="21"/>
                <w:lang w:val="en-GB"/>
              </w:rPr>
            </w:pPr>
          </w:p>
        </w:tc>
        <w:tc>
          <w:tcPr>
            <w:tcW w:w="1149" w:type="pct"/>
            <w:tcBorders>
              <w:top w:val="nil"/>
              <w:left w:val="nil"/>
              <w:bottom w:val="nil"/>
              <w:right w:val="nil"/>
            </w:tcBorders>
            <w:shd w:val="clear" w:color="auto" w:fill="auto"/>
            <w:noWrap/>
            <w:vAlign w:val="center"/>
            <w:hideMark/>
          </w:tcPr>
          <w:p w14:paraId="7F7F9EA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365" w:type="pct"/>
            <w:tcBorders>
              <w:top w:val="nil"/>
              <w:left w:val="nil"/>
              <w:bottom w:val="nil"/>
              <w:right w:val="nil"/>
            </w:tcBorders>
            <w:shd w:val="clear" w:color="auto" w:fill="auto"/>
            <w:noWrap/>
            <w:vAlign w:val="center"/>
            <w:hideMark/>
          </w:tcPr>
          <w:p w14:paraId="5DF70785"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44,069</w:t>
            </w:r>
          </w:p>
        </w:tc>
        <w:tc>
          <w:tcPr>
            <w:tcW w:w="784" w:type="pct"/>
            <w:tcBorders>
              <w:top w:val="nil"/>
              <w:left w:val="nil"/>
              <w:bottom w:val="nil"/>
              <w:right w:val="nil"/>
            </w:tcBorders>
            <w:shd w:val="clear" w:color="auto" w:fill="auto"/>
            <w:noWrap/>
            <w:vAlign w:val="center"/>
            <w:hideMark/>
          </w:tcPr>
          <w:p w14:paraId="68E86DD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0.99 (0.94, 1.04)</w:t>
            </w:r>
          </w:p>
        </w:tc>
        <w:tc>
          <w:tcPr>
            <w:tcW w:w="365" w:type="pct"/>
            <w:tcBorders>
              <w:top w:val="nil"/>
              <w:left w:val="nil"/>
              <w:bottom w:val="nil"/>
              <w:right w:val="nil"/>
            </w:tcBorders>
            <w:shd w:val="clear" w:color="auto" w:fill="auto"/>
            <w:noWrap/>
            <w:vAlign w:val="center"/>
            <w:hideMark/>
          </w:tcPr>
          <w:p w14:paraId="37CA492A"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13,496</w:t>
            </w:r>
          </w:p>
        </w:tc>
        <w:tc>
          <w:tcPr>
            <w:tcW w:w="784" w:type="pct"/>
            <w:tcBorders>
              <w:top w:val="nil"/>
              <w:left w:val="nil"/>
              <w:bottom w:val="nil"/>
              <w:right w:val="nil"/>
            </w:tcBorders>
            <w:shd w:val="clear" w:color="auto" w:fill="auto"/>
            <w:noWrap/>
            <w:vAlign w:val="center"/>
            <w:hideMark/>
          </w:tcPr>
          <w:p w14:paraId="6665A05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0.95 (0.85, 1.05)</w:t>
            </w:r>
          </w:p>
        </w:tc>
        <w:tc>
          <w:tcPr>
            <w:tcW w:w="365" w:type="pct"/>
            <w:tcBorders>
              <w:top w:val="nil"/>
              <w:left w:val="nil"/>
              <w:bottom w:val="nil"/>
              <w:right w:val="nil"/>
            </w:tcBorders>
            <w:shd w:val="clear" w:color="auto" w:fill="auto"/>
            <w:noWrap/>
            <w:vAlign w:val="center"/>
            <w:hideMark/>
          </w:tcPr>
          <w:p w14:paraId="63C5A39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19,437</w:t>
            </w:r>
          </w:p>
        </w:tc>
        <w:tc>
          <w:tcPr>
            <w:tcW w:w="784" w:type="pct"/>
            <w:tcBorders>
              <w:top w:val="nil"/>
              <w:left w:val="nil"/>
              <w:bottom w:val="nil"/>
              <w:right w:val="nil"/>
            </w:tcBorders>
            <w:shd w:val="clear" w:color="auto" w:fill="auto"/>
            <w:noWrap/>
            <w:vAlign w:val="center"/>
            <w:hideMark/>
          </w:tcPr>
          <w:p w14:paraId="3020C9B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0.97 (0.88, 1.07)</w:t>
            </w:r>
          </w:p>
        </w:tc>
      </w:tr>
      <w:tr w:rsidR="00DD73FF" w:rsidRPr="00A858D5" w14:paraId="4C024EF9" w14:textId="77777777" w:rsidTr="001745CB">
        <w:trPr>
          <w:trHeight w:val="320"/>
        </w:trPr>
        <w:tc>
          <w:tcPr>
            <w:tcW w:w="135" w:type="pct"/>
            <w:tcBorders>
              <w:top w:val="nil"/>
              <w:left w:val="nil"/>
              <w:bottom w:val="single" w:sz="4" w:space="0" w:color="auto"/>
              <w:right w:val="nil"/>
            </w:tcBorders>
            <w:shd w:val="clear" w:color="auto" w:fill="auto"/>
            <w:noWrap/>
            <w:vAlign w:val="center"/>
            <w:hideMark/>
          </w:tcPr>
          <w:p w14:paraId="6AB6DE23"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center"/>
            <w:hideMark/>
          </w:tcPr>
          <w:p w14:paraId="0474D06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center"/>
            <w:hideMark/>
          </w:tcPr>
          <w:p w14:paraId="106B407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49" w:type="pct"/>
            <w:tcBorders>
              <w:top w:val="nil"/>
              <w:left w:val="nil"/>
              <w:bottom w:val="single" w:sz="4" w:space="0" w:color="auto"/>
              <w:right w:val="nil"/>
            </w:tcBorders>
            <w:shd w:val="clear" w:color="auto" w:fill="auto"/>
            <w:noWrap/>
            <w:vAlign w:val="center"/>
            <w:hideMark/>
          </w:tcPr>
          <w:p w14:paraId="7D957257"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365" w:type="pct"/>
            <w:tcBorders>
              <w:top w:val="nil"/>
              <w:left w:val="nil"/>
              <w:bottom w:val="single" w:sz="4" w:space="0" w:color="auto"/>
              <w:right w:val="nil"/>
            </w:tcBorders>
            <w:shd w:val="clear" w:color="auto" w:fill="auto"/>
            <w:noWrap/>
            <w:vAlign w:val="center"/>
            <w:hideMark/>
          </w:tcPr>
          <w:p w14:paraId="695074A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66,965</w:t>
            </w:r>
          </w:p>
        </w:tc>
        <w:tc>
          <w:tcPr>
            <w:tcW w:w="784" w:type="pct"/>
            <w:tcBorders>
              <w:top w:val="nil"/>
              <w:left w:val="nil"/>
              <w:bottom w:val="single" w:sz="4" w:space="0" w:color="auto"/>
              <w:right w:val="nil"/>
            </w:tcBorders>
            <w:shd w:val="clear" w:color="auto" w:fill="auto"/>
            <w:noWrap/>
            <w:vAlign w:val="center"/>
            <w:hideMark/>
          </w:tcPr>
          <w:p w14:paraId="4E973C9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(0.91, </w:t>
            </w:r>
            <w:proofErr w:type="gramStart"/>
            <w:r w:rsidRPr="00A858D5">
              <w:rPr>
                <w:rFonts w:ascii="Calibri" w:hAnsi="Calibri"/>
                <w:color w:val="000000"/>
                <w:sz w:val="21"/>
                <w:szCs w:val="21"/>
                <w:lang w:val="en-GB"/>
              </w:rPr>
              <w:t>0.99)*</w:t>
            </w:r>
            <w:proofErr w:type="gramEnd"/>
          </w:p>
        </w:tc>
        <w:tc>
          <w:tcPr>
            <w:tcW w:w="365" w:type="pct"/>
            <w:tcBorders>
              <w:top w:val="nil"/>
              <w:left w:val="nil"/>
              <w:bottom w:val="single" w:sz="4" w:space="0" w:color="auto"/>
              <w:right w:val="nil"/>
            </w:tcBorders>
            <w:shd w:val="clear" w:color="auto" w:fill="auto"/>
            <w:noWrap/>
            <w:vAlign w:val="center"/>
            <w:hideMark/>
          </w:tcPr>
          <w:p w14:paraId="1AFC99F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21,184</w:t>
            </w:r>
          </w:p>
        </w:tc>
        <w:tc>
          <w:tcPr>
            <w:tcW w:w="784" w:type="pct"/>
            <w:tcBorders>
              <w:top w:val="nil"/>
              <w:left w:val="nil"/>
              <w:bottom w:val="single" w:sz="4" w:space="0" w:color="auto"/>
              <w:right w:val="nil"/>
            </w:tcBorders>
            <w:shd w:val="clear" w:color="auto" w:fill="auto"/>
            <w:noWrap/>
            <w:vAlign w:val="center"/>
            <w:hideMark/>
          </w:tcPr>
          <w:p w14:paraId="67AA7CA7"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0.85 (0.79, </w:t>
            </w:r>
            <w:proofErr w:type="gramStart"/>
            <w:r w:rsidRPr="00A858D5">
              <w:rPr>
                <w:rFonts w:ascii="Calibri" w:hAnsi="Calibri"/>
                <w:color w:val="000000"/>
                <w:sz w:val="21"/>
                <w:szCs w:val="21"/>
                <w:lang w:val="en-GB"/>
              </w:rPr>
              <w:t>0.91)*</w:t>
            </w:r>
            <w:proofErr w:type="gramEnd"/>
          </w:p>
        </w:tc>
        <w:tc>
          <w:tcPr>
            <w:tcW w:w="365" w:type="pct"/>
            <w:tcBorders>
              <w:top w:val="nil"/>
              <w:left w:val="nil"/>
              <w:bottom w:val="single" w:sz="4" w:space="0" w:color="auto"/>
              <w:right w:val="nil"/>
            </w:tcBorders>
            <w:shd w:val="clear" w:color="auto" w:fill="auto"/>
            <w:noWrap/>
            <w:vAlign w:val="center"/>
            <w:hideMark/>
          </w:tcPr>
          <w:p w14:paraId="127D052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36,261</w:t>
            </w:r>
          </w:p>
        </w:tc>
        <w:tc>
          <w:tcPr>
            <w:tcW w:w="784" w:type="pct"/>
            <w:tcBorders>
              <w:top w:val="nil"/>
              <w:left w:val="nil"/>
              <w:bottom w:val="single" w:sz="4" w:space="0" w:color="auto"/>
              <w:right w:val="nil"/>
            </w:tcBorders>
            <w:shd w:val="clear" w:color="auto" w:fill="auto"/>
            <w:noWrap/>
            <w:vAlign w:val="center"/>
            <w:hideMark/>
          </w:tcPr>
          <w:p w14:paraId="613BBE5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0.91 (0.85, </w:t>
            </w:r>
            <w:proofErr w:type="gramStart"/>
            <w:r w:rsidRPr="00A858D5">
              <w:rPr>
                <w:rFonts w:ascii="Calibri" w:hAnsi="Calibri"/>
                <w:color w:val="000000"/>
                <w:sz w:val="21"/>
                <w:szCs w:val="21"/>
                <w:lang w:val="en-GB"/>
              </w:rPr>
              <w:t>0.98)*</w:t>
            </w:r>
            <w:proofErr w:type="gramEnd"/>
          </w:p>
        </w:tc>
      </w:tr>
      <w:tr w:rsidR="00DD73FF" w:rsidRPr="00A858D5" w14:paraId="00FE451D" w14:textId="77777777" w:rsidTr="001745CB">
        <w:trPr>
          <w:trHeight w:val="320"/>
        </w:trPr>
        <w:tc>
          <w:tcPr>
            <w:tcW w:w="135" w:type="pct"/>
            <w:tcBorders>
              <w:top w:val="nil"/>
              <w:left w:val="nil"/>
              <w:bottom w:val="single" w:sz="4" w:space="0" w:color="auto"/>
              <w:right w:val="nil"/>
            </w:tcBorders>
            <w:shd w:val="clear" w:color="auto" w:fill="auto"/>
            <w:noWrap/>
            <w:vAlign w:val="center"/>
            <w:hideMark/>
          </w:tcPr>
          <w:p w14:paraId="0F9C7CDA"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418" w:type="pct"/>
            <w:gridSpan w:val="3"/>
            <w:tcBorders>
              <w:top w:val="single" w:sz="4" w:space="0" w:color="auto"/>
              <w:left w:val="nil"/>
              <w:bottom w:val="single" w:sz="4" w:space="0" w:color="auto"/>
              <w:right w:val="nil"/>
            </w:tcBorders>
            <w:shd w:val="clear" w:color="auto" w:fill="auto"/>
            <w:noWrap/>
            <w:vAlign w:val="center"/>
            <w:hideMark/>
          </w:tcPr>
          <w:p w14:paraId="016E7B3C"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Men</w:t>
            </w:r>
          </w:p>
        </w:tc>
        <w:tc>
          <w:tcPr>
            <w:tcW w:w="365" w:type="pct"/>
            <w:tcBorders>
              <w:top w:val="nil"/>
              <w:left w:val="nil"/>
              <w:bottom w:val="single" w:sz="4" w:space="0" w:color="auto"/>
              <w:right w:val="nil"/>
            </w:tcBorders>
            <w:shd w:val="clear" w:color="auto" w:fill="auto"/>
            <w:noWrap/>
            <w:vAlign w:val="center"/>
            <w:hideMark/>
          </w:tcPr>
          <w:p w14:paraId="067A5D94"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1F64B3C3"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7550F944"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3E7793D0"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0C6E563A"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7FEEA35E" w14:textId="77777777" w:rsidR="00DD73FF" w:rsidRPr="00A858D5" w:rsidRDefault="00DD73FF" w:rsidP="001745CB">
            <w:pPr>
              <w:jc w:val="center"/>
              <w:rPr>
                <w:rFonts w:ascii="Calibri" w:hAnsi="Calibri"/>
                <w:color w:val="000000"/>
                <w:sz w:val="21"/>
                <w:szCs w:val="21"/>
                <w:lang w:val="en-GB"/>
              </w:rPr>
            </w:pPr>
          </w:p>
        </w:tc>
      </w:tr>
      <w:tr w:rsidR="00DD73FF" w:rsidRPr="00A858D5" w14:paraId="13F759CA" w14:textId="77777777" w:rsidTr="001745CB">
        <w:trPr>
          <w:trHeight w:val="320"/>
        </w:trPr>
        <w:tc>
          <w:tcPr>
            <w:tcW w:w="135" w:type="pct"/>
            <w:tcBorders>
              <w:top w:val="nil"/>
              <w:left w:val="nil"/>
              <w:bottom w:val="single" w:sz="4" w:space="0" w:color="auto"/>
              <w:right w:val="nil"/>
            </w:tcBorders>
            <w:shd w:val="clear" w:color="auto" w:fill="auto"/>
            <w:noWrap/>
            <w:vAlign w:val="center"/>
            <w:hideMark/>
          </w:tcPr>
          <w:p w14:paraId="35AE15A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center"/>
            <w:hideMark/>
          </w:tcPr>
          <w:p w14:paraId="72821A6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83" w:type="pct"/>
            <w:gridSpan w:val="2"/>
            <w:tcBorders>
              <w:top w:val="single" w:sz="4" w:space="0" w:color="auto"/>
              <w:left w:val="nil"/>
              <w:bottom w:val="single" w:sz="4" w:space="0" w:color="auto"/>
              <w:right w:val="nil"/>
            </w:tcBorders>
            <w:shd w:val="clear" w:color="auto" w:fill="auto"/>
            <w:noWrap/>
            <w:vAlign w:val="center"/>
            <w:hideMark/>
          </w:tcPr>
          <w:p w14:paraId="043D0D6A"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365" w:type="pct"/>
            <w:tcBorders>
              <w:top w:val="nil"/>
              <w:left w:val="nil"/>
              <w:bottom w:val="single" w:sz="4" w:space="0" w:color="auto"/>
              <w:right w:val="nil"/>
            </w:tcBorders>
            <w:shd w:val="clear" w:color="auto" w:fill="auto"/>
            <w:noWrap/>
            <w:vAlign w:val="center"/>
            <w:hideMark/>
          </w:tcPr>
          <w:p w14:paraId="35383D00"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49890A42"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295B56FA"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302475DC" w14:textId="77777777" w:rsidR="00DD73FF" w:rsidRPr="00A858D5" w:rsidRDefault="00DD73FF" w:rsidP="001745CB">
            <w:pPr>
              <w:jc w:val="center"/>
              <w:rPr>
                <w:rFonts w:ascii="Calibri" w:hAnsi="Calibri"/>
                <w:color w:val="000000"/>
                <w:sz w:val="21"/>
                <w:szCs w:val="21"/>
                <w:lang w:val="en-GB"/>
              </w:rPr>
            </w:pPr>
          </w:p>
        </w:tc>
        <w:tc>
          <w:tcPr>
            <w:tcW w:w="365" w:type="pct"/>
            <w:tcBorders>
              <w:top w:val="nil"/>
              <w:left w:val="nil"/>
              <w:bottom w:val="single" w:sz="4" w:space="0" w:color="auto"/>
              <w:right w:val="nil"/>
            </w:tcBorders>
            <w:shd w:val="clear" w:color="auto" w:fill="auto"/>
            <w:noWrap/>
            <w:vAlign w:val="center"/>
            <w:hideMark/>
          </w:tcPr>
          <w:p w14:paraId="01CA45E1" w14:textId="77777777" w:rsidR="00DD73FF" w:rsidRPr="00A858D5" w:rsidRDefault="00DD73FF" w:rsidP="001745CB">
            <w:pPr>
              <w:jc w:val="center"/>
              <w:rPr>
                <w:rFonts w:ascii="Calibri" w:hAnsi="Calibri"/>
                <w:color w:val="000000"/>
                <w:sz w:val="21"/>
                <w:szCs w:val="21"/>
                <w:lang w:val="en-GB"/>
              </w:rPr>
            </w:pPr>
          </w:p>
        </w:tc>
        <w:tc>
          <w:tcPr>
            <w:tcW w:w="784" w:type="pct"/>
            <w:tcBorders>
              <w:top w:val="nil"/>
              <w:left w:val="nil"/>
              <w:bottom w:val="single" w:sz="4" w:space="0" w:color="auto"/>
              <w:right w:val="nil"/>
            </w:tcBorders>
            <w:shd w:val="clear" w:color="auto" w:fill="auto"/>
            <w:noWrap/>
            <w:vAlign w:val="center"/>
            <w:hideMark/>
          </w:tcPr>
          <w:p w14:paraId="47E76AC1" w14:textId="77777777" w:rsidR="00DD73FF" w:rsidRPr="00A858D5" w:rsidRDefault="00DD73FF" w:rsidP="001745CB">
            <w:pPr>
              <w:jc w:val="center"/>
              <w:rPr>
                <w:rFonts w:ascii="Calibri" w:hAnsi="Calibri"/>
                <w:color w:val="000000"/>
                <w:sz w:val="21"/>
                <w:szCs w:val="21"/>
                <w:lang w:val="en-GB"/>
              </w:rPr>
            </w:pPr>
          </w:p>
        </w:tc>
      </w:tr>
      <w:tr w:rsidR="00DD73FF" w:rsidRPr="00A858D5" w14:paraId="6048EC03" w14:textId="77777777" w:rsidTr="001745CB">
        <w:trPr>
          <w:trHeight w:val="320"/>
        </w:trPr>
        <w:tc>
          <w:tcPr>
            <w:tcW w:w="135" w:type="pct"/>
            <w:tcBorders>
              <w:top w:val="nil"/>
              <w:left w:val="nil"/>
              <w:bottom w:val="nil"/>
              <w:right w:val="nil"/>
            </w:tcBorders>
            <w:shd w:val="clear" w:color="auto" w:fill="auto"/>
            <w:noWrap/>
            <w:vAlign w:val="center"/>
            <w:hideMark/>
          </w:tcPr>
          <w:p w14:paraId="133C658A" w14:textId="77777777" w:rsidR="00DD73FF" w:rsidRPr="00A858D5" w:rsidRDefault="00DD73FF" w:rsidP="001745CB">
            <w:pPr>
              <w:rPr>
                <w:rFonts w:ascii="Calibri" w:hAnsi="Calibri"/>
                <w:color w:val="000000"/>
                <w:sz w:val="21"/>
                <w:szCs w:val="21"/>
                <w:lang w:val="en-GB"/>
              </w:rPr>
            </w:pPr>
          </w:p>
        </w:tc>
        <w:tc>
          <w:tcPr>
            <w:tcW w:w="134" w:type="pct"/>
            <w:tcBorders>
              <w:top w:val="nil"/>
              <w:left w:val="nil"/>
              <w:bottom w:val="nil"/>
              <w:right w:val="nil"/>
            </w:tcBorders>
            <w:shd w:val="clear" w:color="auto" w:fill="auto"/>
            <w:noWrap/>
            <w:vAlign w:val="center"/>
            <w:hideMark/>
          </w:tcPr>
          <w:p w14:paraId="0F1019BB" w14:textId="77777777" w:rsidR="00DD73FF" w:rsidRPr="00A858D5" w:rsidRDefault="00DD73FF" w:rsidP="001745CB">
            <w:pPr>
              <w:rPr>
                <w:rFonts w:ascii="Times New Roman" w:hAnsi="Times New Roman"/>
                <w:sz w:val="21"/>
                <w:szCs w:val="21"/>
                <w:lang w:val="en-GB"/>
              </w:rPr>
            </w:pPr>
          </w:p>
        </w:tc>
        <w:tc>
          <w:tcPr>
            <w:tcW w:w="134" w:type="pct"/>
            <w:tcBorders>
              <w:top w:val="nil"/>
              <w:left w:val="nil"/>
              <w:bottom w:val="nil"/>
              <w:right w:val="nil"/>
            </w:tcBorders>
            <w:shd w:val="clear" w:color="auto" w:fill="auto"/>
            <w:noWrap/>
            <w:vAlign w:val="center"/>
            <w:hideMark/>
          </w:tcPr>
          <w:p w14:paraId="77B7D00E" w14:textId="77777777" w:rsidR="00DD73FF" w:rsidRPr="00A858D5" w:rsidRDefault="00DD73FF" w:rsidP="001745CB">
            <w:pPr>
              <w:rPr>
                <w:rFonts w:ascii="Times New Roman" w:hAnsi="Times New Roman"/>
                <w:sz w:val="21"/>
                <w:szCs w:val="21"/>
                <w:lang w:val="en-GB"/>
              </w:rPr>
            </w:pPr>
          </w:p>
        </w:tc>
        <w:tc>
          <w:tcPr>
            <w:tcW w:w="1149" w:type="pct"/>
            <w:tcBorders>
              <w:top w:val="nil"/>
              <w:left w:val="nil"/>
              <w:bottom w:val="nil"/>
              <w:right w:val="nil"/>
            </w:tcBorders>
            <w:shd w:val="clear" w:color="auto" w:fill="auto"/>
            <w:noWrap/>
            <w:vAlign w:val="center"/>
            <w:hideMark/>
          </w:tcPr>
          <w:p w14:paraId="61B5A0F8"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365" w:type="pct"/>
            <w:tcBorders>
              <w:top w:val="nil"/>
              <w:left w:val="nil"/>
              <w:bottom w:val="nil"/>
              <w:right w:val="nil"/>
            </w:tcBorders>
            <w:shd w:val="clear" w:color="auto" w:fill="auto"/>
            <w:noWrap/>
            <w:vAlign w:val="center"/>
            <w:hideMark/>
          </w:tcPr>
          <w:p w14:paraId="0FED3BEA"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57,496</w:t>
            </w:r>
          </w:p>
        </w:tc>
        <w:tc>
          <w:tcPr>
            <w:tcW w:w="784" w:type="pct"/>
            <w:tcBorders>
              <w:top w:val="nil"/>
              <w:left w:val="nil"/>
              <w:bottom w:val="nil"/>
              <w:right w:val="nil"/>
            </w:tcBorders>
            <w:shd w:val="clear" w:color="auto" w:fill="auto"/>
            <w:noWrap/>
            <w:vAlign w:val="center"/>
            <w:hideMark/>
          </w:tcPr>
          <w:p w14:paraId="1B20301D"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(0.89, </w:t>
            </w:r>
            <w:proofErr w:type="gramStart"/>
            <w:r w:rsidRPr="00A858D5">
              <w:rPr>
                <w:rFonts w:ascii="Calibri" w:hAnsi="Calibri"/>
                <w:color w:val="000000"/>
                <w:sz w:val="21"/>
                <w:szCs w:val="21"/>
                <w:lang w:val="en-GB"/>
              </w:rPr>
              <w:t>0.98)*</w:t>
            </w:r>
            <w:proofErr w:type="gramEnd"/>
          </w:p>
        </w:tc>
        <w:tc>
          <w:tcPr>
            <w:tcW w:w="365" w:type="pct"/>
            <w:tcBorders>
              <w:top w:val="nil"/>
              <w:left w:val="nil"/>
              <w:bottom w:val="nil"/>
              <w:right w:val="nil"/>
            </w:tcBorders>
            <w:shd w:val="clear" w:color="auto" w:fill="auto"/>
            <w:noWrap/>
            <w:vAlign w:val="center"/>
            <w:hideMark/>
          </w:tcPr>
          <w:p w14:paraId="3CE2938A"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20,018</w:t>
            </w:r>
          </w:p>
        </w:tc>
        <w:tc>
          <w:tcPr>
            <w:tcW w:w="784" w:type="pct"/>
            <w:tcBorders>
              <w:top w:val="nil"/>
              <w:left w:val="nil"/>
              <w:bottom w:val="nil"/>
              <w:right w:val="nil"/>
            </w:tcBorders>
            <w:shd w:val="clear" w:color="auto" w:fill="auto"/>
            <w:noWrap/>
            <w:vAlign w:val="center"/>
            <w:hideMark/>
          </w:tcPr>
          <w:p w14:paraId="5B42E827"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0.89 (0.80, 1.00)</w:t>
            </w:r>
          </w:p>
        </w:tc>
        <w:tc>
          <w:tcPr>
            <w:tcW w:w="365" w:type="pct"/>
            <w:tcBorders>
              <w:top w:val="nil"/>
              <w:left w:val="nil"/>
              <w:bottom w:val="nil"/>
              <w:right w:val="nil"/>
            </w:tcBorders>
            <w:shd w:val="clear" w:color="auto" w:fill="auto"/>
            <w:noWrap/>
            <w:vAlign w:val="center"/>
            <w:hideMark/>
          </w:tcPr>
          <w:p w14:paraId="30D103E6"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15,965</w:t>
            </w:r>
          </w:p>
        </w:tc>
        <w:tc>
          <w:tcPr>
            <w:tcW w:w="784" w:type="pct"/>
            <w:tcBorders>
              <w:top w:val="nil"/>
              <w:left w:val="nil"/>
              <w:bottom w:val="nil"/>
              <w:right w:val="nil"/>
            </w:tcBorders>
            <w:shd w:val="clear" w:color="auto" w:fill="auto"/>
            <w:noWrap/>
            <w:vAlign w:val="center"/>
            <w:hideMark/>
          </w:tcPr>
          <w:p w14:paraId="5D8F5F53"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0.95 (0.85, 1.07)</w:t>
            </w:r>
          </w:p>
        </w:tc>
      </w:tr>
      <w:tr w:rsidR="00DD73FF" w:rsidRPr="00A858D5" w14:paraId="4573C942" w14:textId="77777777" w:rsidTr="001745CB">
        <w:trPr>
          <w:trHeight w:val="320"/>
        </w:trPr>
        <w:tc>
          <w:tcPr>
            <w:tcW w:w="135" w:type="pct"/>
            <w:tcBorders>
              <w:top w:val="nil"/>
              <w:left w:val="nil"/>
              <w:bottom w:val="nil"/>
              <w:right w:val="nil"/>
            </w:tcBorders>
            <w:shd w:val="clear" w:color="auto" w:fill="auto"/>
            <w:noWrap/>
            <w:vAlign w:val="center"/>
            <w:hideMark/>
          </w:tcPr>
          <w:p w14:paraId="68930867" w14:textId="77777777" w:rsidR="00DD73FF" w:rsidRPr="00A858D5" w:rsidRDefault="00DD73FF" w:rsidP="001745CB">
            <w:pPr>
              <w:rPr>
                <w:rFonts w:ascii="Calibri" w:hAnsi="Calibri"/>
                <w:color w:val="000000"/>
                <w:sz w:val="21"/>
                <w:szCs w:val="21"/>
                <w:lang w:val="en-GB"/>
              </w:rPr>
            </w:pPr>
          </w:p>
        </w:tc>
        <w:tc>
          <w:tcPr>
            <w:tcW w:w="134" w:type="pct"/>
            <w:tcBorders>
              <w:top w:val="nil"/>
              <w:left w:val="nil"/>
              <w:bottom w:val="nil"/>
              <w:right w:val="nil"/>
            </w:tcBorders>
            <w:shd w:val="clear" w:color="auto" w:fill="auto"/>
            <w:noWrap/>
            <w:vAlign w:val="center"/>
            <w:hideMark/>
          </w:tcPr>
          <w:p w14:paraId="6BB64509" w14:textId="77777777" w:rsidR="00DD73FF" w:rsidRPr="00A858D5" w:rsidRDefault="00DD73FF" w:rsidP="001745CB">
            <w:pPr>
              <w:rPr>
                <w:rFonts w:ascii="Times New Roman" w:hAnsi="Times New Roman"/>
                <w:sz w:val="21"/>
                <w:szCs w:val="21"/>
                <w:lang w:val="en-GB"/>
              </w:rPr>
            </w:pPr>
          </w:p>
        </w:tc>
        <w:tc>
          <w:tcPr>
            <w:tcW w:w="134" w:type="pct"/>
            <w:tcBorders>
              <w:top w:val="nil"/>
              <w:left w:val="nil"/>
              <w:bottom w:val="nil"/>
              <w:right w:val="nil"/>
            </w:tcBorders>
            <w:shd w:val="clear" w:color="auto" w:fill="auto"/>
            <w:noWrap/>
            <w:vAlign w:val="center"/>
            <w:hideMark/>
          </w:tcPr>
          <w:p w14:paraId="4A836082" w14:textId="77777777" w:rsidR="00DD73FF" w:rsidRPr="00A858D5" w:rsidRDefault="00DD73FF" w:rsidP="001745CB">
            <w:pPr>
              <w:rPr>
                <w:rFonts w:ascii="Times New Roman" w:hAnsi="Times New Roman"/>
                <w:sz w:val="21"/>
                <w:szCs w:val="21"/>
                <w:lang w:val="en-GB"/>
              </w:rPr>
            </w:pPr>
          </w:p>
        </w:tc>
        <w:tc>
          <w:tcPr>
            <w:tcW w:w="1149" w:type="pct"/>
            <w:tcBorders>
              <w:top w:val="nil"/>
              <w:left w:val="nil"/>
              <w:bottom w:val="nil"/>
              <w:right w:val="nil"/>
            </w:tcBorders>
            <w:shd w:val="clear" w:color="auto" w:fill="auto"/>
            <w:noWrap/>
            <w:vAlign w:val="center"/>
            <w:hideMark/>
          </w:tcPr>
          <w:p w14:paraId="2D1A26F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365" w:type="pct"/>
            <w:tcBorders>
              <w:top w:val="nil"/>
              <w:left w:val="nil"/>
              <w:bottom w:val="nil"/>
              <w:right w:val="nil"/>
            </w:tcBorders>
            <w:shd w:val="clear" w:color="auto" w:fill="auto"/>
            <w:noWrap/>
            <w:vAlign w:val="center"/>
            <w:hideMark/>
          </w:tcPr>
          <w:p w14:paraId="5F56372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37,935</w:t>
            </w:r>
          </w:p>
        </w:tc>
        <w:tc>
          <w:tcPr>
            <w:tcW w:w="784" w:type="pct"/>
            <w:tcBorders>
              <w:top w:val="nil"/>
              <w:left w:val="nil"/>
              <w:bottom w:val="nil"/>
              <w:right w:val="nil"/>
            </w:tcBorders>
            <w:shd w:val="clear" w:color="auto" w:fill="auto"/>
            <w:noWrap/>
            <w:vAlign w:val="center"/>
            <w:hideMark/>
          </w:tcPr>
          <w:p w14:paraId="098F00C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(0.90, </w:t>
            </w:r>
            <w:proofErr w:type="gramStart"/>
            <w:r w:rsidRPr="00A858D5">
              <w:rPr>
                <w:rFonts w:ascii="Calibri" w:hAnsi="Calibri"/>
                <w:color w:val="000000"/>
                <w:sz w:val="21"/>
                <w:szCs w:val="21"/>
                <w:lang w:val="en-GB"/>
              </w:rPr>
              <w:t>1.00)*</w:t>
            </w:r>
            <w:proofErr w:type="gramEnd"/>
          </w:p>
        </w:tc>
        <w:tc>
          <w:tcPr>
            <w:tcW w:w="365" w:type="pct"/>
            <w:tcBorders>
              <w:top w:val="nil"/>
              <w:left w:val="nil"/>
              <w:bottom w:val="nil"/>
              <w:right w:val="nil"/>
            </w:tcBorders>
            <w:shd w:val="clear" w:color="auto" w:fill="auto"/>
            <w:noWrap/>
            <w:vAlign w:val="center"/>
            <w:hideMark/>
          </w:tcPr>
          <w:p w14:paraId="4E1DA6D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11,680</w:t>
            </w:r>
          </w:p>
        </w:tc>
        <w:tc>
          <w:tcPr>
            <w:tcW w:w="784" w:type="pct"/>
            <w:tcBorders>
              <w:top w:val="nil"/>
              <w:left w:val="nil"/>
              <w:bottom w:val="nil"/>
              <w:right w:val="nil"/>
            </w:tcBorders>
            <w:shd w:val="clear" w:color="auto" w:fill="auto"/>
            <w:noWrap/>
            <w:vAlign w:val="center"/>
            <w:hideMark/>
          </w:tcPr>
          <w:p w14:paraId="62954F3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0.95 (0.84, 1.08)</w:t>
            </w:r>
          </w:p>
        </w:tc>
        <w:tc>
          <w:tcPr>
            <w:tcW w:w="365" w:type="pct"/>
            <w:tcBorders>
              <w:top w:val="nil"/>
              <w:left w:val="nil"/>
              <w:bottom w:val="nil"/>
              <w:right w:val="nil"/>
            </w:tcBorders>
            <w:shd w:val="clear" w:color="auto" w:fill="auto"/>
            <w:noWrap/>
            <w:vAlign w:val="center"/>
            <w:hideMark/>
          </w:tcPr>
          <w:p w14:paraId="150C6F56"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19,726</w:t>
            </w:r>
          </w:p>
        </w:tc>
        <w:tc>
          <w:tcPr>
            <w:tcW w:w="784" w:type="pct"/>
            <w:tcBorders>
              <w:top w:val="nil"/>
              <w:left w:val="nil"/>
              <w:bottom w:val="nil"/>
              <w:right w:val="nil"/>
            </w:tcBorders>
            <w:shd w:val="clear" w:color="auto" w:fill="auto"/>
            <w:noWrap/>
            <w:vAlign w:val="center"/>
            <w:hideMark/>
          </w:tcPr>
          <w:p w14:paraId="1917E9D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1.00 (0.90, 1.12)</w:t>
            </w:r>
          </w:p>
        </w:tc>
      </w:tr>
      <w:tr w:rsidR="00DD73FF" w:rsidRPr="00A858D5" w14:paraId="0E0F4100" w14:textId="77777777" w:rsidTr="001745CB">
        <w:trPr>
          <w:trHeight w:val="320"/>
        </w:trPr>
        <w:tc>
          <w:tcPr>
            <w:tcW w:w="135" w:type="pct"/>
            <w:tcBorders>
              <w:top w:val="nil"/>
              <w:left w:val="nil"/>
              <w:bottom w:val="single" w:sz="4" w:space="0" w:color="auto"/>
              <w:right w:val="nil"/>
            </w:tcBorders>
            <w:shd w:val="clear" w:color="auto" w:fill="auto"/>
            <w:noWrap/>
            <w:vAlign w:val="center"/>
            <w:hideMark/>
          </w:tcPr>
          <w:p w14:paraId="05FCBA2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center"/>
            <w:hideMark/>
          </w:tcPr>
          <w:p w14:paraId="4B7D2C9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4" w:type="pct"/>
            <w:tcBorders>
              <w:top w:val="nil"/>
              <w:left w:val="nil"/>
              <w:bottom w:val="single" w:sz="4" w:space="0" w:color="auto"/>
              <w:right w:val="nil"/>
            </w:tcBorders>
            <w:shd w:val="clear" w:color="auto" w:fill="auto"/>
            <w:noWrap/>
            <w:vAlign w:val="center"/>
            <w:hideMark/>
          </w:tcPr>
          <w:p w14:paraId="1C24D4A8"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49" w:type="pct"/>
            <w:tcBorders>
              <w:top w:val="nil"/>
              <w:left w:val="nil"/>
              <w:bottom w:val="single" w:sz="4" w:space="0" w:color="auto"/>
              <w:right w:val="nil"/>
            </w:tcBorders>
            <w:shd w:val="clear" w:color="auto" w:fill="auto"/>
            <w:noWrap/>
            <w:vAlign w:val="center"/>
            <w:hideMark/>
          </w:tcPr>
          <w:p w14:paraId="4BFEFA2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365" w:type="pct"/>
            <w:tcBorders>
              <w:top w:val="nil"/>
              <w:left w:val="nil"/>
              <w:bottom w:val="single" w:sz="4" w:space="0" w:color="auto"/>
              <w:right w:val="nil"/>
            </w:tcBorders>
            <w:shd w:val="clear" w:color="auto" w:fill="auto"/>
            <w:noWrap/>
            <w:vAlign w:val="center"/>
            <w:hideMark/>
          </w:tcPr>
          <w:p w14:paraId="0FCFDB87"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54,401</w:t>
            </w:r>
          </w:p>
        </w:tc>
        <w:tc>
          <w:tcPr>
            <w:tcW w:w="784" w:type="pct"/>
            <w:tcBorders>
              <w:top w:val="nil"/>
              <w:left w:val="nil"/>
              <w:bottom w:val="single" w:sz="4" w:space="0" w:color="auto"/>
              <w:right w:val="nil"/>
            </w:tcBorders>
            <w:shd w:val="clear" w:color="auto" w:fill="auto"/>
            <w:noWrap/>
            <w:vAlign w:val="center"/>
            <w:hideMark/>
          </w:tcPr>
          <w:p w14:paraId="34257B5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(0.89, </w:t>
            </w:r>
            <w:proofErr w:type="gramStart"/>
            <w:r w:rsidRPr="00A858D5">
              <w:rPr>
                <w:rFonts w:ascii="Calibri" w:hAnsi="Calibri"/>
                <w:color w:val="000000"/>
                <w:sz w:val="21"/>
                <w:szCs w:val="21"/>
                <w:lang w:val="en-GB"/>
              </w:rPr>
              <w:t>0.97)*</w:t>
            </w:r>
            <w:proofErr w:type="gramEnd"/>
          </w:p>
        </w:tc>
        <w:tc>
          <w:tcPr>
            <w:tcW w:w="365" w:type="pct"/>
            <w:tcBorders>
              <w:top w:val="nil"/>
              <w:left w:val="nil"/>
              <w:bottom w:val="single" w:sz="4" w:space="0" w:color="auto"/>
              <w:right w:val="nil"/>
            </w:tcBorders>
            <w:shd w:val="clear" w:color="auto" w:fill="auto"/>
            <w:noWrap/>
            <w:vAlign w:val="center"/>
            <w:hideMark/>
          </w:tcPr>
          <w:p w14:paraId="1CF9CCBE"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20,084</w:t>
            </w:r>
          </w:p>
        </w:tc>
        <w:tc>
          <w:tcPr>
            <w:tcW w:w="784" w:type="pct"/>
            <w:tcBorders>
              <w:top w:val="nil"/>
              <w:left w:val="nil"/>
              <w:bottom w:val="single" w:sz="4" w:space="0" w:color="auto"/>
              <w:right w:val="nil"/>
            </w:tcBorders>
            <w:shd w:val="clear" w:color="auto" w:fill="auto"/>
            <w:noWrap/>
            <w:vAlign w:val="center"/>
            <w:hideMark/>
          </w:tcPr>
          <w:p w14:paraId="36304C7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0.96 (0.89, 1.04)</w:t>
            </w:r>
          </w:p>
        </w:tc>
        <w:tc>
          <w:tcPr>
            <w:tcW w:w="365" w:type="pct"/>
            <w:tcBorders>
              <w:top w:val="nil"/>
              <w:left w:val="nil"/>
              <w:bottom w:val="single" w:sz="4" w:space="0" w:color="auto"/>
              <w:right w:val="nil"/>
            </w:tcBorders>
            <w:shd w:val="clear" w:color="auto" w:fill="auto"/>
            <w:noWrap/>
            <w:vAlign w:val="center"/>
            <w:hideMark/>
          </w:tcPr>
          <w:p w14:paraId="75F2815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35,040</w:t>
            </w:r>
          </w:p>
        </w:tc>
        <w:tc>
          <w:tcPr>
            <w:tcW w:w="784" w:type="pct"/>
            <w:tcBorders>
              <w:top w:val="nil"/>
              <w:left w:val="nil"/>
              <w:bottom w:val="single" w:sz="4" w:space="0" w:color="auto"/>
              <w:right w:val="nil"/>
            </w:tcBorders>
            <w:shd w:val="clear" w:color="auto" w:fill="auto"/>
            <w:noWrap/>
            <w:vAlign w:val="center"/>
            <w:hideMark/>
          </w:tcPr>
          <w:p w14:paraId="7357E59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0.97 (0.90, 1.05)</w:t>
            </w:r>
          </w:p>
        </w:tc>
      </w:tr>
      <w:tr w:rsidR="00DD73FF" w:rsidRPr="00A858D5" w14:paraId="1E08A133" w14:textId="77777777" w:rsidTr="001745CB">
        <w:trPr>
          <w:trHeight w:val="320"/>
        </w:trPr>
        <w:tc>
          <w:tcPr>
            <w:tcW w:w="5000" w:type="pct"/>
            <w:gridSpan w:val="10"/>
            <w:tcBorders>
              <w:top w:val="single" w:sz="4" w:space="0" w:color="auto"/>
              <w:left w:val="nil"/>
              <w:bottom w:val="single" w:sz="4" w:space="0" w:color="auto"/>
              <w:right w:val="nil"/>
            </w:tcBorders>
            <w:shd w:val="clear" w:color="auto" w:fill="auto"/>
            <w:noWrap/>
            <w:vAlign w:val="center"/>
          </w:tcPr>
          <w:p w14:paraId="7A3D559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0"/>
                <w:szCs w:val="20"/>
                <w:lang w:val="en-GB"/>
              </w:rPr>
              <w:t xml:space="preserve">Note: </w:t>
            </w:r>
            <w:proofErr w:type="gramStart"/>
            <w:r w:rsidRPr="00A858D5">
              <w:rPr>
                <w:rFonts w:ascii="Calibri" w:hAnsi="Calibri"/>
                <w:color w:val="000000"/>
                <w:sz w:val="20"/>
                <w:szCs w:val="20"/>
                <w:lang w:val="en-GB"/>
              </w:rPr>
              <w:t>OR,</w:t>
            </w:r>
            <w:proofErr w:type="gramEnd"/>
            <w:r w:rsidRPr="00A858D5">
              <w:rPr>
                <w:rFonts w:ascii="Calibri" w:hAnsi="Calibri"/>
                <w:color w:val="000000"/>
                <w:sz w:val="20"/>
                <w:szCs w:val="20"/>
                <w:lang w:val="en-GB"/>
              </w:rPr>
              <w:t xml:space="preserve"> Odds Ratio; 95%CI, 95% Confidence Intervals. * p-value &lt; 0.05. Multilevel logistic regression models for 2001. Models adjusted by age, housing tenure, household living arrangement, PM</w:t>
            </w:r>
            <w:r w:rsidRPr="00A858D5">
              <w:rPr>
                <w:rFonts w:ascii="Calibri" w:hAnsi="Calibri"/>
                <w:color w:val="000000"/>
                <w:sz w:val="20"/>
                <w:szCs w:val="20"/>
                <w:vertAlign w:val="subscript"/>
                <w:lang w:val="en-GB"/>
              </w:rPr>
              <w:t>2.5</w:t>
            </w:r>
            <w:r w:rsidRPr="00A858D5">
              <w:rPr>
                <w:rFonts w:ascii="Calibri" w:hAnsi="Calibri"/>
                <w:color w:val="000000"/>
                <w:sz w:val="20"/>
                <w:szCs w:val="20"/>
                <w:lang w:val="en-GB"/>
              </w:rPr>
              <w:t xml:space="preserve">, </w:t>
            </w:r>
            <w:proofErr w:type="spellStart"/>
            <w:r w:rsidRPr="00A858D5">
              <w:rPr>
                <w:rFonts w:ascii="Calibri" w:hAnsi="Calibri"/>
                <w:color w:val="000000"/>
                <w:sz w:val="20"/>
                <w:szCs w:val="20"/>
                <w:lang w:val="en-GB"/>
              </w:rPr>
              <w:t>L</w:t>
            </w:r>
            <w:r w:rsidRPr="00A858D5">
              <w:rPr>
                <w:rFonts w:ascii="Calibri" w:hAnsi="Calibri"/>
                <w:color w:val="000000"/>
                <w:sz w:val="20"/>
                <w:szCs w:val="20"/>
                <w:vertAlign w:val="subscript"/>
                <w:lang w:val="en-GB"/>
              </w:rPr>
              <w:t>den</w:t>
            </w:r>
            <w:proofErr w:type="spellEnd"/>
            <w:r w:rsidRPr="00A858D5">
              <w:rPr>
                <w:rFonts w:ascii="Calibri" w:hAnsi="Calibri"/>
                <w:color w:val="000000"/>
                <w:sz w:val="20"/>
                <w:szCs w:val="20"/>
                <w:lang w:val="en-GB"/>
              </w:rPr>
              <w:t xml:space="preserve"> and area-level SEP.</w:t>
            </w:r>
          </w:p>
        </w:tc>
      </w:tr>
    </w:tbl>
    <w:p w14:paraId="4C1CEF61" w14:textId="68952C9E" w:rsidR="00DD73FF" w:rsidRPr="00A858D5" w:rsidRDefault="00DD73FF" w:rsidP="00DD73FF">
      <w:pPr>
        <w:rPr>
          <w:lang w:val="en-GB"/>
        </w:rPr>
      </w:pPr>
    </w:p>
    <w:p w14:paraId="79F17F6F" w14:textId="77777777" w:rsidR="00FB24A3" w:rsidRPr="00A858D5" w:rsidRDefault="00FB24A3" w:rsidP="00FB24A3">
      <w:pPr>
        <w:rPr>
          <w:bCs/>
          <w:szCs w:val="22"/>
          <w:lang w:val="en-GB"/>
        </w:rPr>
      </w:pPr>
      <w:r w:rsidRPr="00A858D5">
        <w:rPr>
          <w:b/>
          <w:szCs w:val="22"/>
          <w:lang w:val="en-GB"/>
        </w:rPr>
        <w:t>Table 3.</w:t>
      </w:r>
      <w:r w:rsidRPr="00A858D5">
        <w:rPr>
          <w:bCs/>
          <w:szCs w:val="22"/>
          <w:lang w:val="en-GB"/>
        </w:rPr>
        <w:t xml:space="preserve"> </w:t>
      </w:r>
      <w:r w:rsidRPr="00A858D5">
        <w:rPr>
          <w:bCs/>
          <w:i/>
          <w:iCs/>
          <w:szCs w:val="22"/>
          <w:lang w:val="en-GB"/>
        </w:rPr>
        <w:t>(Continued).</w:t>
      </w:r>
    </w:p>
    <w:p w14:paraId="3DDD9D8A" w14:textId="77777777" w:rsidR="00FB24A3" w:rsidRPr="00A858D5" w:rsidRDefault="00FB24A3" w:rsidP="00DD73FF">
      <w:pPr>
        <w:rPr>
          <w:lang w:val="en-GB"/>
        </w:rPr>
      </w:pPr>
    </w:p>
    <w:p w14:paraId="0D182B84" w14:textId="77777777" w:rsidR="00DD73FF" w:rsidRPr="00A858D5" w:rsidRDefault="00DD73FF" w:rsidP="00DD73FF">
      <w:pPr>
        <w:rPr>
          <w:lang w:val="en-GB"/>
        </w:rPr>
      </w:pPr>
    </w:p>
    <w:p w14:paraId="734A212B" w14:textId="77777777" w:rsidR="00DD73FF" w:rsidRPr="00A858D5" w:rsidRDefault="00DD73FF" w:rsidP="00DD73FF">
      <w:pPr>
        <w:rPr>
          <w:lang w:val="en-GB"/>
        </w:rPr>
        <w:sectPr w:rsidR="00DD73FF" w:rsidRPr="00A858D5" w:rsidSect="00525007">
          <w:pgSz w:w="16840" w:h="11900" w:orient="landscape"/>
          <w:pgMar w:top="1440" w:right="1440" w:bottom="1440" w:left="1440" w:header="708" w:footer="708" w:gutter="0"/>
          <w:cols w:space="708"/>
          <w:docGrid w:linePitch="360"/>
        </w:sectPr>
      </w:pPr>
    </w:p>
    <w:p w14:paraId="3359BD67" w14:textId="77777777" w:rsidR="00DD73FF" w:rsidRPr="00A858D5" w:rsidRDefault="00DD73FF" w:rsidP="00DD73FF">
      <w:pPr>
        <w:rPr>
          <w:lang w:val="en-GB"/>
        </w:rPr>
      </w:pPr>
    </w:p>
    <w:tbl>
      <w:tblPr>
        <w:tblW w:w="5000" w:type="pct"/>
        <w:tblLook w:val="04A0" w:firstRow="1" w:lastRow="0" w:firstColumn="1" w:lastColumn="0" w:noHBand="0" w:noVBand="1"/>
      </w:tblPr>
      <w:tblGrid>
        <w:gridCol w:w="336"/>
        <w:gridCol w:w="335"/>
        <w:gridCol w:w="335"/>
        <w:gridCol w:w="3317"/>
        <w:gridCol w:w="1013"/>
        <w:gridCol w:w="2245"/>
        <w:gridCol w:w="1013"/>
        <w:gridCol w:w="2245"/>
        <w:gridCol w:w="1013"/>
        <w:gridCol w:w="2108"/>
      </w:tblGrid>
      <w:tr w:rsidR="00DD73FF" w:rsidRPr="00A858D5" w14:paraId="513F4050" w14:textId="77777777" w:rsidTr="001745CB">
        <w:trPr>
          <w:trHeight w:val="320"/>
        </w:trPr>
        <w:tc>
          <w:tcPr>
            <w:tcW w:w="120" w:type="pct"/>
            <w:tcBorders>
              <w:top w:val="single" w:sz="4" w:space="0" w:color="auto"/>
              <w:left w:val="nil"/>
              <w:bottom w:val="single" w:sz="4" w:space="0" w:color="auto"/>
              <w:right w:val="nil"/>
            </w:tcBorders>
            <w:shd w:val="clear" w:color="auto" w:fill="auto"/>
            <w:noWrap/>
            <w:vAlign w:val="bottom"/>
            <w:hideMark/>
          </w:tcPr>
          <w:p w14:paraId="14C3E213"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single" w:sz="4" w:space="0" w:color="auto"/>
              <w:left w:val="nil"/>
              <w:bottom w:val="single" w:sz="4" w:space="0" w:color="auto"/>
              <w:right w:val="nil"/>
            </w:tcBorders>
            <w:shd w:val="clear" w:color="auto" w:fill="auto"/>
            <w:noWrap/>
            <w:vAlign w:val="bottom"/>
            <w:hideMark/>
          </w:tcPr>
          <w:p w14:paraId="39C4BB9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single" w:sz="4" w:space="0" w:color="auto"/>
              <w:left w:val="nil"/>
              <w:bottom w:val="single" w:sz="4" w:space="0" w:color="auto"/>
              <w:right w:val="nil"/>
            </w:tcBorders>
            <w:shd w:val="clear" w:color="auto" w:fill="auto"/>
            <w:noWrap/>
            <w:vAlign w:val="bottom"/>
            <w:hideMark/>
          </w:tcPr>
          <w:p w14:paraId="4B5D244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single" w:sz="4" w:space="0" w:color="auto"/>
              <w:left w:val="nil"/>
              <w:bottom w:val="single" w:sz="4" w:space="0" w:color="auto"/>
              <w:right w:val="nil"/>
            </w:tcBorders>
            <w:shd w:val="clear" w:color="auto" w:fill="auto"/>
            <w:noWrap/>
            <w:vAlign w:val="bottom"/>
            <w:hideMark/>
          </w:tcPr>
          <w:p w14:paraId="4F46DB17"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453" w:type="pct"/>
            <w:gridSpan w:val="6"/>
            <w:tcBorders>
              <w:top w:val="single" w:sz="4" w:space="0" w:color="auto"/>
              <w:left w:val="nil"/>
              <w:bottom w:val="single" w:sz="4" w:space="0" w:color="auto"/>
              <w:right w:val="nil"/>
            </w:tcBorders>
            <w:shd w:val="clear" w:color="auto" w:fill="auto"/>
            <w:noWrap/>
            <w:vAlign w:val="center"/>
            <w:hideMark/>
          </w:tcPr>
          <w:p w14:paraId="6C4FECE0"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Natural cause mortality</w:t>
            </w:r>
          </w:p>
        </w:tc>
      </w:tr>
      <w:tr w:rsidR="00DD73FF" w:rsidRPr="00A858D5" w14:paraId="058A2C6B"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02932F7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6391432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56CABF62"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bottom"/>
            <w:hideMark/>
          </w:tcPr>
          <w:p w14:paraId="3B1CFF9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67" w:type="pct"/>
            <w:gridSpan w:val="2"/>
            <w:tcBorders>
              <w:top w:val="single" w:sz="4" w:space="0" w:color="auto"/>
              <w:left w:val="nil"/>
              <w:bottom w:val="single" w:sz="4" w:space="0" w:color="auto"/>
              <w:right w:val="nil"/>
            </w:tcBorders>
            <w:shd w:val="clear" w:color="auto" w:fill="auto"/>
            <w:noWrap/>
            <w:vAlign w:val="center"/>
            <w:hideMark/>
          </w:tcPr>
          <w:p w14:paraId="62875B9D"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Belgian</w:t>
            </w:r>
          </w:p>
        </w:tc>
        <w:tc>
          <w:tcPr>
            <w:tcW w:w="1167" w:type="pct"/>
            <w:gridSpan w:val="2"/>
            <w:tcBorders>
              <w:top w:val="single" w:sz="4" w:space="0" w:color="auto"/>
              <w:left w:val="nil"/>
              <w:bottom w:val="single" w:sz="4" w:space="0" w:color="auto"/>
              <w:right w:val="nil"/>
            </w:tcBorders>
            <w:shd w:val="clear" w:color="auto" w:fill="auto"/>
            <w:noWrap/>
            <w:vAlign w:val="center"/>
            <w:hideMark/>
          </w:tcPr>
          <w:p w14:paraId="7DD2829A"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Other HIC</w:t>
            </w:r>
          </w:p>
        </w:tc>
        <w:tc>
          <w:tcPr>
            <w:tcW w:w="1120" w:type="pct"/>
            <w:gridSpan w:val="2"/>
            <w:tcBorders>
              <w:top w:val="single" w:sz="4" w:space="0" w:color="auto"/>
              <w:left w:val="nil"/>
              <w:bottom w:val="single" w:sz="4" w:space="0" w:color="auto"/>
              <w:right w:val="nil"/>
            </w:tcBorders>
            <w:shd w:val="clear" w:color="auto" w:fill="auto"/>
            <w:noWrap/>
            <w:vAlign w:val="center"/>
            <w:hideMark/>
          </w:tcPr>
          <w:p w14:paraId="0FE955B8"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LMIC</w:t>
            </w:r>
          </w:p>
        </w:tc>
      </w:tr>
      <w:tr w:rsidR="00DD73FF" w:rsidRPr="00A858D5" w14:paraId="61315EAA"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20D6BDA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693716D2"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01735DFE"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bottom"/>
            <w:hideMark/>
          </w:tcPr>
          <w:p w14:paraId="41E99BBC"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63" w:type="pct"/>
            <w:tcBorders>
              <w:top w:val="nil"/>
              <w:left w:val="nil"/>
              <w:bottom w:val="single" w:sz="4" w:space="0" w:color="auto"/>
              <w:right w:val="nil"/>
            </w:tcBorders>
            <w:shd w:val="clear" w:color="auto" w:fill="auto"/>
            <w:noWrap/>
            <w:vAlign w:val="center"/>
            <w:hideMark/>
          </w:tcPr>
          <w:p w14:paraId="3A08598F"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803" w:type="pct"/>
            <w:tcBorders>
              <w:top w:val="nil"/>
              <w:left w:val="nil"/>
              <w:bottom w:val="single" w:sz="4" w:space="0" w:color="auto"/>
              <w:right w:val="nil"/>
            </w:tcBorders>
            <w:shd w:val="clear" w:color="auto" w:fill="auto"/>
            <w:noWrap/>
            <w:vAlign w:val="center"/>
            <w:hideMark/>
          </w:tcPr>
          <w:p w14:paraId="6D609538"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HR (95%CI)</w:t>
            </w:r>
          </w:p>
        </w:tc>
        <w:tc>
          <w:tcPr>
            <w:tcW w:w="363" w:type="pct"/>
            <w:tcBorders>
              <w:top w:val="nil"/>
              <w:left w:val="nil"/>
              <w:bottom w:val="single" w:sz="4" w:space="0" w:color="auto"/>
              <w:right w:val="nil"/>
            </w:tcBorders>
            <w:shd w:val="clear" w:color="auto" w:fill="auto"/>
            <w:noWrap/>
            <w:vAlign w:val="center"/>
            <w:hideMark/>
          </w:tcPr>
          <w:p w14:paraId="2D49701E"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803" w:type="pct"/>
            <w:tcBorders>
              <w:top w:val="nil"/>
              <w:left w:val="nil"/>
              <w:bottom w:val="single" w:sz="4" w:space="0" w:color="auto"/>
              <w:right w:val="nil"/>
            </w:tcBorders>
            <w:shd w:val="clear" w:color="auto" w:fill="auto"/>
            <w:noWrap/>
            <w:vAlign w:val="center"/>
            <w:hideMark/>
          </w:tcPr>
          <w:p w14:paraId="755F0297"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HR (95%CI)</w:t>
            </w:r>
          </w:p>
        </w:tc>
        <w:tc>
          <w:tcPr>
            <w:tcW w:w="363" w:type="pct"/>
            <w:tcBorders>
              <w:top w:val="nil"/>
              <w:left w:val="nil"/>
              <w:bottom w:val="single" w:sz="4" w:space="0" w:color="auto"/>
              <w:right w:val="nil"/>
            </w:tcBorders>
            <w:shd w:val="clear" w:color="auto" w:fill="auto"/>
            <w:noWrap/>
            <w:vAlign w:val="center"/>
            <w:hideMark/>
          </w:tcPr>
          <w:p w14:paraId="58F356EF"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756" w:type="pct"/>
            <w:tcBorders>
              <w:top w:val="nil"/>
              <w:left w:val="nil"/>
              <w:bottom w:val="single" w:sz="4" w:space="0" w:color="auto"/>
              <w:right w:val="nil"/>
            </w:tcBorders>
            <w:shd w:val="clear" w:color="auto" w:fill="auto"/>
            <w:noWrap/>
            <w:vAlign w:val="center"/>
            <w:hideMark/>
          </w:tcPr>
          <w:p w14:paraId="0A5B073D"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HR (95%CI)</w:t>
            </w:r>
          </w:p>
        </w:tc>
      </w:tr>
      <w:tr w:rsidR="00DD73FF" w:rsidRPr="00A858D5" w14:paraId="35C2C1BA" w14:textId="77777777" w:rsidTr="001745CB">
        <w:trPr>
          <w:trHeight w:val="320"/>
        </w:trPr>
        <w:tc>
          <w:tcPr>
            <w:tcW w:w="1547" w:type="pct"/>
            <w:gridSpan w:val="4"/>
            <w:tcBorders>
              <w:top w:val="single" w:sz="4" w:space="0" w:color="auto"/>
              <w:left w:val="nil"/>
              <w:bottom w:val="single" w:sz="4" w:space="0" w:color="auto"/>
              <w:right w:val="nil"/>
            </w:tcBorders>
            <w:shd w:val="clear" w:color="auto" w:fill="auto"/>
            <w:noWrap/>
            <w:vAlign w:val="center"/>
            <w:hideMark/>
          </w:tcPr>
          <w:p w14:paraId="3E097FBE"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Surrounding greenness</w:t>
            </w:r>
          </w:p>
        </w:tc>
        <w:tc>
          <w:tcPr>
            <w:tcW w:w="363" w:type="pct"/>
            <w:tcBorders>
              <w:top w:val="nil"/>
              <w:left w:val="nil"/>
              <w:bottom w:val="single" w:sz="4" w:space="0" w:color="auto"/>
              <w:right w:val="nil"/>
            </w:tcBorders>
            <w:shd w:val="clear" w:color="auto" w:fill="auto"/>
            <w:noWrap/>
            <w:vAlign w:val="center"/>
            <w:hideMark/>
          </w:tcPr>
          <w:p w14:paraId="0D7669A7"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12BFE60A"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66E8D437"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0D221FDE"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712D51FA" w14:textId="77777777" w:rsidR="00DD73FF" w:rsidRPr="00A858D5" w:rsidRDefault="00DD73FF" w:rsidP="001745CB">
            <w:pPr>
              <w:jc w:val="center"/>
              <w:rPr>
                <w:rFonts w:ascii="Calibri" w:hAnsi="Calibri"/>
                <w:color w:val="000000"/>
                <w:sz w:val="21"/>
                <w:szCs w:val="21"/>
                <w:lang w:val="en-GB"/>
              </w:rPr>
            </w:pPr>
          </w:p>
        </w:tc>
        <w:tc>
          <w:tcPr>
            <w:tcW w:w="756" w:type="pct"/>
            <w:tcBorders>
              <w:top w:val="nil"/>
              <w:left w:val="nil"/>
              <w:bottom w:val="single" w:sz="4" w:space="0" w:color="auto"/>
              <w:right w:val="nil"/>
            </w:tcBorders>
            <w:shd w:val="clear" w:color="auto" w:fill="auto"/>
            <w:noWrap/>
            <w:vAlign w:val="center"/>
            <w:hideMark/>
          </w:tcPr>
          <w:p w14:paraId="72AEC4DA" w14:textId="77777777" w:rsidR="00DD73FF" w:rsidRPr="00A858D5" w:rsidRDefault="00DD73FF" w:rsidP="001745CB">
            <w:pPr>
              <w:jc w:val="center"/>
              <w:rPr>
                <w:rFonts w:ascii="Calibri" w:hAnsi="Calibri"/>
                <w:color w:val="000000"/>
                <w:sz w:val="21"/>
                <w:szCs w:val="21"/>
                <w:lang w:val="en-GB"/>
              </w:rPr>
            </w:pPr>
          </w:p>
        </w:tc>
      </w:tr>
      <w:tr w:rsidR="00DD73FF" w:rsidRPr="00A858D5" w14:paraId="154F0A37"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0B8ED10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427" w:type="pct"/>
            <w:gridSpan w:val="3"/>
            <w:tcBorders>
              <w:top w:val="single" w:sz="4" w:space="0" w:color="auto"/>
              <w:left w:val="nil"/>
              <w:bottom w:val="single" w:sz="4" w:space="0" w:color="auto"/>
              <w:right w:val="nil"/>
            </w:tcBorders>
            <w:shd w:val="clear" w:color="auto" w:fill="auto"/>
            <w:noWrap/>
            <w:vAlign w:val="center"/>
            <w:hideMark/>
          </w:tcPr>
          <w:p w14:paraId="00F55522"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Women</w:t>
            </w:r>
          </w:p>
        </w:tc>
        <w:tc>
          <w:tcPr>
            <w:tcW w:w="363" w:type="pct"/>
            <w:tcBorders>
              <w:top w:val="nil"/>
              <w:left w:val="nil"/>
              <w:bottom w:val="single" w:sz="4" w:space="0" w:color="auto"/>
              <w:right w:val="nil"/>
            </w:tcBorders>
            <w:shd w:val="clear" w:color="auto" w:fill="auto"/>
            <w:noWrap/>
            <w:vAlign w:val="center"/>
            <w:hideMark/>
          </w:tcPr>
          <w:p w14:paraId="5ECFA230"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5E8DE50D"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04991252"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7F608B28"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35C786A7" w14:textId="77777777" w:rsidR="00DD73FF" w:rsidRPr="00A858D5" w:rsidRDefault="00DD73FF" w:rsidP="001745CB">
            <w:pPr>
              <w:jc w:val="center"/>
              <w:rPr>
                <w:rFonts w:ascii="Calibri" w:hAnsi="Calibri"/>
                <w:color w:val="000000"/>
                <w:sz w:val="21"/>
                <w:szCs w:val="21"/>
                <w:lang w:val="en-GB"/>
              </w:rPr>
            </w:pPr>
          </w:p>
        </w:tc>
        <w:tc>
          <w:tcPr>
            <w:tcW w:w="756" w:type="pct"/>
            <w:tcBorders>
              <w:top w:val="nil"/>
              <w:left w:val="nil"/>
              <w:bottom w:val="single" w:sz="4" w:space="0" w:color="auto"/>
              <w:right w:val="nil"/>
            </w:tcBorders>
            <w:shd w:val="clear" w:color="auto" w:fill="auto"/>
            <w:noWrap/>
            <w:vAlign w:val="center"/>
            <w:hideMark/>
          </w:tcPr>
          <w:p w14:paraId="428577BB" w14:textId="77777777" w:rsidR="00DD73FF" w:rsidRPr="00A858D5" w:rsidRDefault="00DD73FF" w:rsidP="001745CB">
            <w:pPr>
              <w:jc w:val="center"/>
              <w:rPr>
                <w:rFonts w:ascii="Calibri" w:hAnsi="Calibri"/>
                <w:color w:val="000000"/>
                <w:sz w:val="21"/>
                <w:szCs w:val="21"/>
                <w:lang w:val="en-GB"/>
              </w:rPr>
            </w:pPr>
          </w:p>
        </w:tc>
      </w:tr>
      <w:tr w:rsidR="00DD73FF" w:rsidRPr="00A858D5" w14:paraId="4F5C390F"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1447AC2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1CA55680"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 </w:t>
            </w:r>
          </w:p>
        </w:tc>
        <w:tc>
          <w:tcPr>
            <w:tcW w:w="1308" w:type="pct"/>
            <w:gridSpan w:val="2"/>
            <w:tcBorders>
              <w:top w:val="single" w:sz="4" w:space="0" w:color="auto"/>
              <w:left w:val="nil"/>
              <w:bottom w:val="single" w:sz="4" w:space="0" w:color="auto"/>
              <w:right w:val="nil"/>
            </w:tcBorders>
            <w:shd w:val="clear" w:color="auto" w:fill="auto"/>
            <w:noWrap/>
            <w:vAlign w:val="center"/>
            <w:hideMark/>
          </w:tcPr>
          <w:p w14:paraId="0DF434A9"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363" w:type="pct"/>
            <w:tcBorders>
              <w:top w:val="nil"/>
              <w:left w:val="nil"/>
              <w:bottom w:val="single" w:sz="4" w:space="0" w:color="auto"/>
              <w:right w:val="nil"/>
            </w:tcBorders>
            <w:shd w:val="clear" w:color="auto" w:fill="auto"/>
            <w:noWrap/>
            <w:vAlign w:val="center"/>
            <w:hideMark/>
          </w:tcPr>
          <w:p w14:paraId="6C94E7CC"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278D63FD"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7641A385"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4F2B1183"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424BB385" w14:textId="77777777" w:rsidR="00DD73FF" w:rsidRPr="00A858D5" w:rsidRDefault="00DD73FF" w:rsidP="001745CB">
            <w:pPr>
              <w:jc w:val="center"/>
              <w:rPr>
                <w:rFonts w:ascii="Calibri" w:hAnsi="Calibri"/>
                <w:color w:val="000000"/>
                <w:sz w:val="21"/>
                <w:szCs w:val="21"/>
                <w:lang w:val="en-GB"/>
              </w:rPr>
            </w:pPr>
          </w:p>
        </w:tc>
        <w:tc>
          <w:tcPr>
            <w:tcW w:w="756" w:type="pct"/>
            <w:tcBorders>
              <w:top w:val="nil"/>
              <w:left w:val="nil"/>
              <w:bottom w:val="single" w:sz="4" w:space="0" w:color="auto"/>
              <w:right w:val="nil"/>
            </w:tcBorders>
            <w:shd w:val="clear" w:color="auto" w:fill="auto"/>
            <w:noWrap/>
            <w:vAlign w:val="center"/>
            <w:hideMark/>
          </w:tcPr>
          <w:p w14:paraId="6D32C27D" w14:textId="77777777" w:rsidR="00DD73FF" w:rsidRPr="00A858D5" w:rsidRDefault="00DD73FF" w:rsidP="001745CB">
            <w:pPr>
              <w:jc w:val="center"/>
              <w:rPr>
                <w:rFonts w:ascii="Calibri" w:hAnsi="Calibri"/>
                <w:color w:val="000000"/>
                <w:sz w:val="21"/>
                <w:szCs w:val="21"/>
                <w:lang w:val="en-GB"/>
              </w:rPr>
            </w:pPr>
          </w:p>
        </w:tc>
      </w:tr>
      <w:tr w:rsidR="00DD73FF" w:rsidRPr="00A858D5" w14:paraId="772CA2DB" w14:textId="77777777" w:rsidTr="001745CB">
        <w:trPr>
          <w:trHeight w:val="320"/>
        </w:trPr>
        <w:tc>
          <w:tcPr>
            <w:tcW w:w="120" w:type="pct"/>
            <w:tcBorders>
              <w:top w:val="nil"/>
              <w:left w:val="nil"/>
              <w:bottom w:val="nil"/>
              <w:right w:val="nil"/>
            </w:tcBorders>
            <w:shd w:val="clear" w:color="auto" w:fill="auto"/>
            <w:noWrap/>
            <w:vAlign w:val="bottom"/>
            <w:hideMark/>
          </w:tcPr>
          <w:p w14:paraId="2005D3D6" w14:textId="77777777" w:rsidR="00DD73FF" w:rsidRPr="00A858D5" w:rsidRDefault="00DD73FF" w:rsidP="001745CB">
            <w:pPr>
              <w:jc w:val="center"/>
              <w:rPr>
                <w:rFonts w:ascii="Calibri" w:hAnsi="Calibri"/>
                <w:color w:val="000000"/>
                <w:sz w:val="21"/>
                <w:szCs w:val="21"/>
                <w:lang w:val="en-GB"/>
              </w:rPr>
            </w:pPr>
          </w:p>
        </w:tc>
        <w:tc>
          <w:tcPr>
            <w:tcW w:w="120" w:type="pct"/>
            <w:tcBorders>
              <w:top w:val="nil"/>
              <w:left w:val="nil"/>
              <w:bottom w:val="nil"/>
              <w:right w:val="nil"/>
            </w:tcBorders>
            <w:shd w:val="clear" w:color="auto" w:fill="auto"/>
            <w:noWrap/>
            <w:vAlign w:val="center"/>
            <w:hideMark/>
          </w:tcPr>
          <w:p w14:paraId="1A9C74FD" w14:textId="77777777" w:rsidR="00DD73FF" w:rsidRPr="00A858D5" w:rsidRDefault="00DD73FF" w:rsidP="001745CB">
            <w:pPr>
              <w:rPr>
                <w:rFonts w:ascii="Times New Roman" w:hAnsi="Times New Roman"/>
                <w:sz w:val="21"/>
                <w:szCs w:val="21"/>
                <w:lang w:val="en-GB"/>
              </w:rPr>
            </w:pPr>
          </w:p>
        </w:tc>
        <w:tc>
          <w:tcPr>
            <w:tcW w:w="120" w:type="pct"/>
            <w:tcBorders>
              <w:top w:val="nil"/>
              <w:left w:val="nil"/>
              <w:bottom w:val="nil"/>
              <w:right w:val="nil"/>
            </w:tcBorders>
            <w:shd w:val="clear" w:color="auto" w:fill="auto"/>
            <w:noWrap/>
            <w:vAlign w:val="center"/>
            <w:hideMark/>
          </w:tcPr>
          <w:p w14:paraId="7F40C2E2" w14:textId="77777777" w:rsidR="00DD73FF" w:rsidRPr="00A858D5" w:rsidRDefault="00DD73FF" w:rsidP="001745CB">
            <w:pPr>
              <w:rPr>
                <w:rFonts w:ascii="Times New Roman" w:hAnsi="Times New Roman"/>
                <w:sz w:val="21"/>
                <w:szCs w:val="21"/>
                <w:lang w:val="en-GB"/>
              </w:rPr>
            </w:pPr>
          </w:p>
        </w:tc>
        <w:tc>
          <w:tcPr>
            <w:tcW w:w="1188" w:type="pct"/>
            <w:tcBorders>
              <w:top w:val="nil"/>
              <w:left w:val="nil"/>
              <w:bottom w:val="nil"/>
              <w:right w:val="nil"/>
            </w:tcBorders>
            <w:shd w:val="clear" w:color="auto" w:fill="auto"/>
            <w:noWrap/>
            <w:vAlign w:val="center"/>
            <w:hideMark/>
          </w:tcPr>
          <w:p w14:paraId="7281420C"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363" w:type="pct"/>
            <w:tcBorders>
              <w:top w:val="nil"/>
              <w:left w:val="nil"/>
              <w:bottom w:val="nil"/>
              <w:right w:val="nil"/>
            </w:tcBorders>
            <w:shd w:val="clear" w:color="auto" w:fill="auto"/>
            <w:noWrap/>
            <w:vAlign w:val="center"/>
            <w:hideMark/>
          </w:tcPr>
          <w:p w14:paraId="63CFC09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62,493</w:t>
            </w:r>
          </w:p>
        </w:tc>
        <w:tc>
          <w:tcPr>
            <w:tcW w:w="803" w:type="pct"/>
            <w:tcBorders>
              <w:top w:val="nil"/>
              <w:left w:val="nil"/>
              <w:bottom w:val="nil"/>
              <w:right w:val="nil"/>
            </w:tcBorders>
            <w:shd w:val="clear" w:color="auto" w:fill="auto"/>
            <w:noWrap/>
            <w:vAlign w:val="center"/>
            <w:hideMark/>
          </w:tcPr>
          <w:p w14:paraId="341B5E6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(0.87, </w:t>
            </w:r>
            <w:proofErr w:type="gramStart"/>
            <w:r w:rsidRPr="00A858D5">
              <w:rPr>
                <w:rFonts w:ascii="Calibri" w:hAnsi="Calibri"/>
                <w:color w:val="000000"/>
                <w:sz w:val="21"/>
                <w:szCs w:val="21"/>
                <w:lang w:val="en-GB"/>
              </w:rPr>
              <w:t>0.99)*</w:t>
            </w:r>
            <w:proofErr w:type="gramEnd"/>
          </w:p>
        </w:tc>
        <w:tc>
          <w:tcPr>
            <w:tcW w:w="363" w:type="pct"/>
            <w:tcBorders>
              <w:top w:val="nil"/>
              <w:left w:val="nil"/>
              <w:bottom w:val="nil"/>
              <w:right w:val="nil"/>
            </w:tcBorders>
            <w:shd w:val="clear" w:color="auto" w:fill="auto"/>
            <w:noWrap/>
            <w:vAlign w:val="center"/>
            <w:hideMark/>
          </w:tcPr>
          <w:p w14:paraId="19018C8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21,610</w:t>
            </w:r>
          </w:p>
        </w:tc>
        <w:tc>
          <w:tcPr>
            <w:tcW w:w="803" w:type="pct"/>
            <w:tcBorders>
              <w:top w:val="nil"/>
              <w:left w:val="nil"/>
              <w:bottom w:val="nil"/>
              <w:right w:val="nil"/>
            </w:tcBorders>
            <w:shd w:val="clear" w:color="auto" w:fill="auto"/>
            <w:noWrap/>
            <w:vAlign w:val="center"/>
            <w:hideMark/>
          </w:tcPr>
          <w:p w14:paraId="6B79F61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0.91 (0.75, 1.11)</w:t>
            </w:r>
          </w:p>
        </w:tc>
        <w:tc>
          <w:tcPr>
            <w:tcW w:w="363" w:type="pct"/>
            <w:tcBorders>
              <w:top w:val="nil"/>
              <w:left w:val="nil"/>
              <w:bottom w:val="nil"/>
              <w:right w:val="nil"/>
            </w:tcBorders>
            <w:shd w:val="clear" w:color="auto" w:fill="auto"/>
            <w:noWrap/>
            <w:vAlign w:val="center"/>
            <w:hideMark/>
          </w:tcPr>
          <w:p w14:paraId="40E25CF2"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13,698</w:t>
            </w:r>
          </w:p>
        </w:tc>
        <w:tc>
          <w:tcPr>
            <w:tcW w:w="756" w:type="pct"/>
            <w:tcBorders>
              <w:top w:val="nil"/>
              <w:left w:val="nil"/>
              <w:bottom w:val="nil"/>
              <w:right w:val="nil"/>
            </w:tcBorders>
            <w:shd w:val="clear" w:color="auto" w:fill="auto"/>
            <w:noWrap/>
            <w:vAlign w:val="center"/>
            <w:hideMark/>
          </w:tcPr>
          <w:p w14:paraId="4714772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1.13 (0.89, 1.43)</w:t>
            </w:r>
          </w:p>
        </w:tc>
      </w:tr>
      <w:tr w:rsidR="00DD73FF" w:rsidRPr="00A858D5" w14:paraId="670C6B7E" w14:textId="77777777" w:rsidTr="001745CB">
        <w:trPr>
          <w:trHeight w:val="320"/>
        </w:trPr>
        <w:tc>
          <w:tcPr>
            <w:tcW w:w="120" w:type="pct"/>
            <w:tcBorders>
              <w:top w:val="nil"/>
              <w:left w:val="nil"/>
              <w:bottom w:val="nil"/>
              <w:right w:val="nil"/>
            </w:tcBorders>
            <w:shd w:val="clear" w:color="auto" w:fill="auto"/>
            <w:noWrap/>
            <w:vAlign w:val="bottom"/>
            <w:hideMark/>
          </w:tcPr>
          <w:p w14:paraId="06709D87" w14:textId="77777777" w:rsidR="00DD73FF" w:rsidRPr="00A858D5" w:rsidRDefault="00DD73FF" w:rsidP="001745CB">
            <w:pPr>
              <w:jc w:val="center"/>
              <w:rPr>
                <w:rFonts w:ascii="Calibri" w:hAnsi="Calibri"/>
                <w:color w:val="000000"/>
                <w:sz w:val="21"/>
                <w:szCs w:val="21"/>
                <w:lang w:val="en-GB"/>
              </w:rPr>
            </w:pPr>
          </w:p>
        </w:tc>
        <w:tc>
          <w:tcPr>
            <w:tcW w:w="120" w:type="pct"/>
            <w:tcBorders>
              <w:top w:val="nil"/>
              <w:left w:val="nil"/>
              <w:bottom w:val="nil"/>
              <w:right w:val="nil"/>
            </w:tcBorders>
            <w:shd w:val="clear" w:color="auto" w:fill="auto"/>
            <w:noWrap/>
            <w:vAlign w:val="center"/>
            <w:hideMark/>
          </w:tcPr>
          <w:p w14:paraId="29580229" w14:textId="77777777" w:rsidR="00DD73FF" w:rsidRPr="00A858D5" w:rsidRDefault="00DD73FF" w:rsidP="001745CB">
            <w:pPr>
              <w:rPr>
                <w:rFonts w:ascii="Times New Roman" w:hAnsi="Times New Roman"/>
                <w:sz w:val="21"/>
                <w:szCs w:val="21"/>
                <w:lang w:val="en-GB"/>
              </w:rPr>
            </w:pPr>
          </w:p>
        </w:tc>
        <w:tc>
          <w:tcPr>
            <w:tcW w:w="120" w:type="pct"/>
            <w:tcBorders>
              <w:top w:val="nil"/>
              <w:left w:val="nil"/>
              <w:bottom w:val="nil"/>
              <w:right w:val="nil"/>
            </w:tcBorders>
            <w:shd w:val="clear" w:color="auto" w:fill="auto"/>
            <w:noWrap/>
            <w:vAlign w:val="center"/>
            <w:hideMark/>
          </w:tcPr>
          <w:p w14:paraId="3057A8A0" w14:textId="77777777" w:rsidR="00DD73FF" w:rsidRPr="00A858D5" w:rsidRDefault="00DD73FF" w:rsidP="001745CB">
            <w:pPr>
              <w:rPr>
                <w:rFonts w:ascii="Times New Roman" w:hAnsi="Times New Roman"/>
                <w:sz w:val="21"/>
                <w:szCs w:val="21"/>
                <w:lang w:val="en-GB"/>
              </w:rPr>
            </w:pPr>
          </w:p>
        </w:tc>
        <w:tc>
          <w:tcPr>
            <w:tcW w:w="1188" w:type="pct"/>
            <w:tcBorders>
              <w:top w:val="nil"/>
              <w:left w:val="nil"/>
              <w:bottom w:val="nil"/>
              <w:right w:val="nil"/>
            </w:tcBorders>
            <w:shd w:val="clear" w:color="auto" w:fill="auto"/>
            <w:noWrap/>
            <w:vAlign w:val="center"/>
            <w:hideMark/>
          </w:tcPr>
          <w:p w14:paraId="2DECD1C6"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363" w:type="pct"/>
            <w:tcBorders>
              <w:top w:val="nil"/>
              <w:left w:val="nil"/>
              <w:bottom w:val="nil"/>
              <w:right w:val="nil"/>
            </w:tcBorders>
            <w:shd w:val="clear" w:color="auto" w:fill="auto"/>
            <w:noWrap/>
            <w:vAlign w:val="center"/>
            <w:hideMark/>
          </w:tcPr>
          <w:p w14:paraId="713875FD"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44,069</w:t>
            </w:r>
          </w:p>
        </w:tc>
        <w:tc>
          <w:tcPr>
            <w:tcW w:w="803" w:type="pct"/>
            <w:tcBorders>
              <w:top w:val="nil"/>
              <w:left w:val="nil"/>
              <w:bottom w:val="nil"/>
              <w:right w:val="nil"/>
            </w:tcBorders>
            <w:shd w:val="clear" w:color="auto" w:fill="auto"/>
            <w:noWrap/>
            <w:vAlign w:val="center"/>
            <w:hideMark/>
          </w:tcPr>
          <w:p w14:paraId="1E135BAE"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0.97 (0.92, 1.02)</w:t>
            </w:r>
          </w:p>
        </w:tc>
        <w:tc>
          <w:tcPr>
            <w:tcW w:w="363" w:type="pct"/>
            <w:tcBorders>
              <w:top w:val="nil"/>
              <w:left w:val="nil"/>
              <w:bottom w:val="nil"/>
              <w:right w:val="nil"/>
            </w:tcBorders>
            <w:shd w:val="clear" w:color="auto" w:fill="auto"/>
            <w:noWrap/>
            <w:vAlign w:val="center"/>
            <w:hideMark/>
          </w:tcPr>
          <w:p w14:paraId="67B0E3E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13,496</w:t>
            </w:r>
          </w:p>
        </w:tc>
        <w:tc>
          <w:tcPr>
            <w:tcW w:w="803" w:type="pct"/>
            <w:tcBorders>
              <w:top w:val="nil"/>
              <w:left w:val="nil"/>
              <w:bottom w:val="nil"/>
              <w:right w:val="nil"/>
            </w:tcBorders>
            <w:shd w:val="clear" w:color="auto" w:fill="auto"/>
            <w:noWrap/>
            <w:vAlign w:val="center"/>
            <w:hideMark/>
          </w:tcPr>
          <w:p w14:paraId="0824BA0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0.82 (0.70, </w:t>
            </w:r>
            <w:proofErr w:type="gramStart"/>
            <w:r w:rsidRPr="00A858D5">
              <w:rPr>
                <w:rFonts w:ascii="Calibri" w:hAnsi="Calibri"/>
                <w:color w:val="000000"/>
                <w:sz w:val="21"/>
                <w:szCs w:val="21"/>
                <w:lang w:val="en-GB"/>
              </w:rPr>
              <w:t>0.96)*</w:t>
            </w:r>
            <w:proofErr w:type="gramEnd"/>
          </w:p>
        </w:tc>
        <w:tc>
          <w:tcPr>
            <w:tcW w:w="363" w:type="pct"/>
            <w:tcBorders>
              <w:top w:val="nil"/>
              <w:left w:val="nil"/>
              <w:bottom w:val="nil"/>
              <w:right w:val="nil"/>
            </w:tcBorders>
            <w:shd w:val="clear" w:color="auto" w:fill="auto"/>
            <w:noWrap/>
            <w:vAlign w:val="center"/>
            <w:hideMark/>
          </w:tcPr>
          <w:p w14:paraId="0401DB4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19,437</w:t>
            </w:r>
          </w:p>
        </w:tc>
        <w:tc>
          <w:tcPr>
            <w:tcW w:w="756" w:type="pct"/>
            <w:tcBorders>
              <w:top w:val="nil"/>
              <w:left w:val="nil"/>
              <w:bottom w:val="nil"/>
              <w:right w:val="nil"/>
            </w:tcBorders>
            <w:shd w:val="clear" w:color="auto" w:fill="auto"/>
            <w:noWrap/>
            <w:vAlign w:val="center"/>
            <w:hideMark/>
          </w:tcPr>
          <w:p w14:paraId="56466E9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1.01 (0.83, 1.23)</w:t>
            </w:r>
          </w:p>
        </w:tc>
      </w:tr>
      <w:tr w:rsidR="00DD73FF" w:rsidRPr="00A858D5" w14:paraId="43616314"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6284B12A"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178D83C8"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2B055C3C"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center"/>
            <w:hideMark/>
          </w:tcPr>
          <w:p w14:paraId="07B035B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363" w:type="pct"/>
            <w:tcBorders>
              <w:top w:val="nil"/>
              <w:left w:val="nil"/>
              <w:bottom w:val="single" w:sz="4" w:space="0" w:color="auto"/>
              <w:right w:val="nil"/>
            </w:tcBorders>
            <w:shd w:val="clear" w:color="auto" w:fill="auto"/>
            <w:noWrap/>
            <w:vAlign w:val="center"/>
            <w:hideMark/>
          </w:tcPr>
          <w:p w14:paraId="0E08EDF2"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66,965</w:t>
            </w:r>
          </w:p>
        </w:tc>
        <w:tc>
          <w:tcPr>
            <w:tcW w:w="803" w:type="pct"/>
            <w:tcBorders>
              <w:top w:val="nil"/>
              <w:left w:val="nil"/>
              <w:bottom w:val="single" w:sz="4" w:space="0" w:color="auto"/>
              <w:right w:val="nil"/>
            </w:tcBorders>
            <w:shd w:val="clear" w:color="auto" w:fill="auto"/>
            <w:noWrap/>
            <w:vAlign w:val="center"/>
            <w:hideMark/>
          </w:tcPr>
          <w:p w14:paraId="079D0F32"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(0.90, </w:t>
            </w:r>
            <w:proofErr w:type="gramStart"/>
            <w:r w:rsidRPr="00A858D5">
              <w:rPr>
                <w:rFonts w:ascii="Calibri" w:hAnsi="Calibri"/>
                <w:color w:val="000000"/>
                <w:sz w:val="21"/>
                <w:szCs w:val="21"/>
                <w:lang w:val="en-GB"/>
              </w:rPr>
              <w:t>0.95)*</w:t>
            </w:r>
            <w:proofErr w:type="gramEnd"/>
          </w:p>
        </w:tc>
        <w:tc>
          <w:tcPr>
            <w:tcW w:w="363" w:type="pct"/>
            <w:tcBorders>
              <w:top w:val="nil"/>
              <w:left w:val="nil"/>
              <w:bottom w:val="single" w:sz="4" w:space="0" w:color="auto"/>
              <w:right w:val="nil"/>
            </w:tcBorders>
            <w:shd w:val="clear" w:color="auto" w:fill="auto"/>
            <w:noWrap/>
            <w:vAlign w:val="center"/>
            <w:hideMark/>
          </w:tcPr>
          <w:p w14:paraId="2F5CA012"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21,184</w:t>
            </w:r>
          </w:p>
        </w:tc>
        <w:tc>
          <w:tcPr>
            <w:tcW w:w="803" w:type="pct"/>
            <w:tcBorders>
              <w:top w:val="nil"/>
              <w:left w:val="nil"/>
              <w:bottom w:val="single" w:sz="4" w:space="0" w:color="auto"/>
              <w:right w:val="nil"/>
            </w:tcBorders>
            <w:shd w:val="clear" w:color="auto" w:fill="auto"/>
            <w:noWrap/>
            <w:vAlign w:val="center"/>
            <w:hideMark/>
          </w:tcPr>
          <w:p w14:paraId="0F75A12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0.88 (0.81, </w:t>
            </w:r>
            <w:proofErr w:type="gramStart"/>
            <w:r w:rsidRPr="00A858D5">
              <w:rPr>
                <w:rFonts w:ascii="Calibri" w:hAnsi="Calibri"/>
                <w:color w:val="000000"/>
                <w:sz w:val="21"/>
                <w:szCs w:val="21"/>
                <w:lang w:val="en-GB"/>
              </w:rPr>
              <w:t>0.96)*</w:t>
            </w:r>
            <w:proofErr w:type="gramEnd"/>
          </w:p>
        </w:tc>
        <w:tc>
          <w:tcPr>
            <w:tcW w:w="363" w:type="pct"/>
            <w:tcBorders>
              <w:top w:val="nil"/>
              <w:left w:val="nil"/>
              <w:bottom w:val="single" w:sz="4" w:space="0" w:color="auto"/>
              <w:right w:val="nil"/>
            </w:tcBorders>
            <w:shd w:val="clear" w:color="auto" w:fill="auto"/>
            <w:noWrap/>
            <w:vAlign w:val="center"/>
            <w:hideMark/>
          </w:tcPr>
          <w:p w14:paraId="2EB3AA4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36,261</w:t>
            </w:r>
          </w:p>
        </w:tc>
        <w:tc>
          <w:tcPr>
            <w:tcW w:w="756" w:type="pct"/>
            <w:tcBorders>
              <w:top w:val="nil"/>
              <w:left w:val="nil"/>
              <w:bottom w:val="single" w:sz="4" w:space="0" w:color="auto"/>
              <w:right w:val="nil"/>
            </w:tcBorders>
            <w:shd w:val="clear" w:color="auto" w:fill="auto"/>
            <w:noWrap/>
            <w:vAlign w:val="center"/>
            <w:hideMark/>
          </w:tcPr>
          <w:p w14:paraId="3D99766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0.91 (0.83, 1.00)</w:t>
            </w:r>
          </w:p>
        </w:tc>
      </w:tr>
      <w:tr w:rsidR="00DD73FF" w:rsidRPr="00A858D5" w14:paraId="2F109AAA"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0A22DF8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427" w:type="pct"/>
            <w:gridSpan w:val="3"/>
            <w:tcBorders>
              <w:top w:val="single" w:sz="4" w:space="0" w:color="auto"/>
              <w:left w:val="nil"/>
              <w:bottom w:val="single" w:sz="4" w:space="0" w:color="auto"/>
              <w:right w:val="nil"/>
            </w:tcBorders>
            <w:shd w:val="clear" w:color="auto" w:fill="auto"/>
            <w:noWrap/>
            <w:vAlign w:val="center"/>
            <w:hideMark/>
          </w:tcPr>
          <w:p w14:paraId="76E692D6"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Men</w:t>
            </w:r>
          </w:p>
        </w:tc>
        <w:tc>
          <w:tcPr>
            <w:tcW w:w="363" w:type="pct"/>
            <w:tcBorders>
              <w:top w:val="nil"/>
              <w:left w:val="nil"/>
              <w:bottom w:val="single" w:sz="4" w:space="0" w:color="auto"/>
              <w:right w:val="nil"/>
            </w:tcBorders>
            <w:shd w:val="clear" w:color="auto" w:fill="auto"/>
            <w:noWrap/>
            <w:vAlign w:val="center"/>
            <w:hideMark/>
          </w:tcPr>
          <w:p w14:paraId="069C168E"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2D19EDF9"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56CB3FA0"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4E54B29E"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22553AE8" w14:textId="77777777" w:rsidR="00DD73FF" w:rsidRPr="00A858D5" w:rsidRDefault="00DD73FF" w:rsidP="001745CB">
            <w:pPr>
              <w:jc w:val="center"/>
              <w:rPr>
                <w:rFonts w:ascii="Calibri" w:hAnsi="Calibri"/>
                <w:color w:val="000000"/>
                <w:sz w:val="21"/>
                <w:szCs w:val="21"/>
                <w:lang w:val="en-GB"/>
              </w:rPr>
            </w:pPr>
          </w:p>
        </w:tc>
        <w:tc>
          <w:tcPr>
            <w:tcW w:w="756" w:type="pct"/>
            <w:tcBorders>
              <w:top w:val="nil"/>
              <w:left w:val="nil"/>
              <w:bottom w:val="single" w:sz="4" w:space="0" w:color="auto"/>
              <w:right w:val="nil"/>
            </w:tcBorders>
            <w:shd w:val="clear" w:color="auto" w:fill="auto"/>
            <w:noWrap/>
            <w:vAlign w:val="center"/>
            <w:hideMark/>
          </w:tcPr>
          <w:p w14:paraId="3AC19226" w14:textId="77777777" w:rsidR="00DD73FF" w:rsidRPr="00A858D5" w:rsidRDefault="00DD73FF" w:rsidP="001745CB">
            <w:pPr>
              <w:jc w:val="center"/>
              <w:rPr>
                <w:rFonts w:ascii="Calibri" w:hAnsi="Calibri"/>
                <w:color w:val="000000"/>
                <w:sz w:val="21"/>
                <w:szCs w:val="21"/>
                <w:lang w:val="en-GB"/>
              </w:rPr>
            </w:pPr>
          </w:p>
        </w:tc>
      </w:tr>
      <w:tr w:rsidR="00DD73FF" w:rsidRPr="00A858D5" w14:paraId="7E856D4A"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2B0A43F3"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43DD931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08" w:type="pct"/>
            <w:gridSpan w:val="2"/>
            <w:tcBorders>
              <w:top w:val="single" w:sz="4" w:space="0" w:color="auto"/>
              <w:left w:val="nil"/>
              <w:bottom w:val="single" w:sz="4" w:space="0" w:color="auto"/>
              <w:right w:val="nil"/>
            </w:tcBorders>
            <w:shd w:val="clear" w:color="auto" w:fill="auto"/>
            <w:noWrap/>
            <w:vAlign w:val="center"/>
            <w:hideMark/>
          </w:tcPr>
          <w:p w14:paraId="26610D69"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363" w:type="pct"/>
            <w:tcBorders>
              <w:top w:val="nil"/>
              <w:left w:val="nil"/>
              <w:bottom w:val="single" w:sz="4" w:space="0" w:color="auto"/>
              <w:right w:val="nil"/>
            </w:tcBorders>
            <w:shd w:val="clear" w:color="auto" w:fill="auto"/>
            <w:noWrap/>
            <w:vAlign w:val="center"/>
            <w:hideMark/>
          </w:tcPr>
          <w:p w14:paraId="744C3B20"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2B852D7E"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2F2EFFC9" w14:textId="77777777" w:rsidR="00DD73FF" w:rsidRPr="00A858D5" w:rsidRDefault="00DD73FF" w:rsidP="001745CB">
            <w:pPr>
              <w:jc w:val="center"/>
              <w:rPr>
                <w:rFonts w:ascii="Calibri" w:hAnsi="Calibri"/>
                <w:color w:val="000000"/>
                <w:sz w:val="21"/>
                <w:szCs w:val="21"/>
                <w:lang w:val="en-GB"/>
              </w:rPr>
            </w:pPr>
          </w:p>
        </w:tc>
        <w:tc>
          <w:tcPr>
            <w:tcW w:w="803" w:type="pct"/>
            <w:tcBorders>
              <w:top w:val="nil"/>
              <w:left w:val="nil"/>
              <w:bottom w:val="single" w:sz="4" w:space="0" w:color="auto"/>
              <w:right w:val="nil"/>
            </w:tcBorders>
            <w:shd w:val="clear" w:color="auto" w:fill="auto"/>
            <w:noWrap/>
            <w:vAlign w:val="center"/>
            <w:hideMark/>
          </w:tcPr>
          <w:p w14:paraId="391780A9"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55AFA78A" w14:textId="77777777" w:rsidR="00DD73FF" w:rsidRPr="00A858D5" w:rsidRDefault="00DD73FF" w:rsidP="001745CB">
            <w:pPr>
              <w:jc w:val="center"/>
              <w:rPr>
                <w:rFonts w:ascii="Calibri" w:hAnsi="Calibri"/>
                <w:color w:val="000000"/>
                <w:sz w:val="21"/>
                <w:szCs w:val="21"/>
                <w:lang w:val="en-GB"/>
              </w:rPr>
            </w:pPr>
          </w:p>
        </w:tc>
        <w:tc>
          <w:tcPr>
            <w:tcW w:w="756" w:type="pct"/>
            <w:tcBorders>
              <w:top w:val="nil"/>
              <w:left w:val="nil"/>
              <w:bottom w:val="single" w:sz="4" w:space="0" w:color="auto"/>
              <w:right w:val="nil"/>
            </w:tcBorders>
            <w:shd w:val="clear" w:color="auto" w:fill="auto"/>
            <w:noWrap/>
            <w:vAlign w:val="center"/>
            <w:hideMark/>
          </w:tcPr>
          <w:p w14:paraId="4EBB324C" w14:textId="77777777" w:rsidR="00DD73FF" w:rsidRPr="00A858D5" w:rsidRDefault="00DD73FF" w:rsidP="001745CB">
            <w:pPr>
              <w:jc w:val="center"/>
              <w:rPr>
                <w:rFonts w:ascii="Calibri" w:hAnsi="Calibri"/>
                <w:color w:val="000000"/>
                <w:sz w:val="21"/>
                <w:szCs w:val="21"/>
                <w:lang w:val="en-GB"/>
              </w:rPr>
            </w:pPr>
          </w:p>
        </w:tc>
      </w:tr>
      <w:tr w:rsidR="00DD73FF" w:rsidRPr="00A858D5" w14:paraId="647166B8" w14:textId="77777777" w:rsidTr="001745CB">
        <w:trPr>
          <w:trHeight w:val="320"/>
        </w:trPr>
        <w:tc>
          <w:tcPr>
            <w:tcW w:w="120" w:type="pct"/>
            <w:tcBorders>
              <w:top w:val="nil"/>
              <w:left w:val="nil"/>
              <w:bottom w:val="nil"/>
              <w:right w:val="nil"/>
            </w:tcBorders>
            <w:shd w:val="clear" w:color="auto" w:fill="auto"/>
            <w:noWrap/>
            <w:vAlign w:val="bottom"/>
            <w:hideMark/>
          </w:tcPr>
          <w:p w14:paraId="5FBEAE5C" w14:textId="77777777" w:rsidR="00DD73FF" w:rsidRPr="00A858D5" w:rsidRDefault="00DD73FF" w:rsidP="001745CB">
            <w:pPr>
              <w:jc w:val="center"/>
              <w:rPr>
                <w:rFonts w:ascii="Calibri" w:hAnsi="Calibri"/>
                <w:color w:val="000000"/>
                <w:sz w:val="21"/>
                <w:szCs w:val="21"/>
                <w:lang w:val="en-GB"/>
              </w:rPr>
            </w:pPr>
          </w:p>
        </w:tc>
        <w:tc>
          <w:tcPr>
            <w:tcW w:w="120" w:type="pct"/>
            <w:tcBorders>
              <w:top w:val="nil"/>
              <w:left w:val="nil"/>
              <w:bottom w:val="nil"/>
              <w:right w:val="nil"/>
            </w:tcBorders>
            <w:shd w:val="clear" w:color="auto" w:fill="auto"/>
            <w:noWrap/>
            <w:vAlign w:val="center"/>
            <w:hideMark/>
          </w:tcPr>
          <w:p w14:paraId="3133F0A4" w14:textId="77777777" w:rsidR="00DD73FF" w:rsidRPr="00A858D5" w:rsidRDefault="00DD73FF" w:rsidP="001745CB">
            <w:pPr>
              <w:rPr>
                <w:rFonts w:ascii="Times New Roman" w:hAnsi="Times New Roman"/>
                <w:sz w:val="21"/>
                <w:szCs w:val="21"/>
                <w:lang w:val="en-GB"/>
              </w:rPr>
            </w:pPr>
          </w:p>
        </w:tc>
        <w:tc>
          <w:tcPr>
            <w:tcW w:w="120" w:type="pct"/>
            <w:tcBorders>
              <w:top w:val="nil"/>
              <w:left w:val="nil"/>
              <w:bottom w:val="nil"/>
              <w:right w:val="nil"/>
            </w:tcBorders>
            <w:shd w:val="clear" w:color="auto" w:fill="auto"/>
            <w:noWrap/>
            <w:vAlign w:val="center"/>
            <w:hideMark/>
          </w:tcPr>
          <w:p w14:paraId="30A388AA" w14:textId="77777777" w:rsidR="00DD73FF" w:rsidRPr="00A858D5" w:rsidRDefault="00DD73FF" w:rsidP="001745CB">
            <w:pPr>
              <w:rPr>
                <w:rFonts w:ascii="Times New Roman" w:hAnsi="Times New Roman"/>
                <w:sz w:val="21"/>
                <w:szCs w:val="21"/>
                <w:lang w:val="en-GB"/>
              </w:rPr>
            </w:pPr>
          </w:p>
        </w:tc>
        <w:tc>
          <w:tcPr>
            <w:tcW w:w="1188" w:type="pct"/>
            <w:tcBorders>
              <w:top w:val="nil"/>
              <w:left w:val="nil"/>
              <w:bottom w:val="nil"/>
              <w:right w:val="nil"/>
            </w:tcBorders>
            <w:shd w:val="clear" w:color="auto" w:fill="auto"/>
            <w:noWrap/>
            <w:vAlign w:val="center"/>
            <w:hideMark/>
          </w:tcPr>
          <w:p w14:paraId="0CBEA75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363" w:type="pct"/>
            <w:tcBorders>
              <w:top w:val="nil"/>
              <w:left w:val="nil"/>
              <w:bottom w:val="nil"/>
              <w:right w:val="nil"/>
            </w:tcBorders>
            <w:shd w:val="clear" w:color="auto" w:fill="auto"/>
            <w:noWrap/>
            <w:vAlign w:val="center"/>
            <w:hideMark/>
          </w:tcPr>
          <w:p w14:paraId="0927912D"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57,496</w:t>
            </w:r>
          </w:p>
        </w:tc>
        <w:tc>
          <w:tcPr>
            <w:tcW w:w="803" w:type="pct"/>
            <w:tcBorders>
              <w:top w:val="nil"/>
              <w:left w:val="nil"/>
              <w:bottom w:val="nil"/>
              <w:right w:val="nil"/>
            </w:tcBorders>
            <w:shd w:val="clear" w:color="auto" w:fill="auto"/>
            <w:noWrap/>
            <w:vAlign w:val="center"/>
            <w:hideMark/>
          </w:tcPr>
          <w:p w14:paraId="4DF91E86"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0.91 (0.87, </w:t>
            </w:r>
            <w:proofErr w:type="gramStart"/>
            <w:r w:rsidRPr="00A858D5">
              <w:rPr>
                <w:rFonts w:ascii="Calibri" w:hAnsi="Calibri"/>
                <w:color w:val="000000"/>
                <w:sz w:val="21"/>
                <w:szCs w:val="21"/>
                <w:lang w:val="en-GB"/>
              </w:rPr>
              <w:t>0.96)*</w:t>
            </w:r>
            <w:proofErr w:type="gramEnd"/>
          </w:p>
        </w:tc>
        <w:tc>
          <w:tcPr>
            <w:tcW w:w="363" w:type="pct"/>
            <w:tcBorders>
              <w:top w:val="nil"/>
              <w:left w:val="nil"/>
              <w:bottom w:val="nil"/>
              <w:right w:val="nil"/>
            </w:tcBorders>
            <w:shd w:val="clear" w:color="auto" w:fill="auto"/>
            <w:noWrap/>
            <w:vAlign w:val="center"/>
            <w:hideMark/>
          </w:tcPr>
          <w:p w14:paraId="6914D6D7"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20,018</w:t>
            </w:r>
          </w:p>
        </w:tc>
        <w:tc>
          <w:tcPr>
            <w:tcW w:w="803" w:type="pct"/>
            <w:tcBorders>
              <w:top w:val="nil"/>
              <w:left w:val="nil"/>
              <w:bottom w:val="nil"/>
              <w:right w:val="nil"/>
            </w:tcBorders>
            <w:shd w:val="clear" w:color="auto" w:fill="auto"/>
            <w:noWrap/>
            <w:vAlign w:val="center"/>
            <w:hideMark/>
          </w:tcPr>
          <w:p w14:paraId="5F82DFFA"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0.94 (0.81, 1.10)</w:t>
            </w:r>
          </w:p>
        </w:tc>
        <w:tc>
          <w:tcPr>
            <w:tcW w:w="363" w:type="pct"/>
            <w:tcBorders>
              <w:top w:val="nil"/>
              <w:left w:val="nil"/>
              <w:bottom w:val="nil"/>
              <w:right w:val="nil"/>
            </w:tcBorders>
            <w:shd w:val="clear" w:color="auto" w:fill="auto"/>
            <w:noWrap/>
            <w:vAlign w:val="center"/>
            <w:hideMark/>
          </w:tcPr>
          <w:p w14:paraId="3AD76CE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15,965</w:t>
            </w:r>
          </w:p>
        </w:tc>
        <w:tc>
          <w:tcPr>
            <w:tcW w:w="756" w:type="pct"/>
            <w:tcBorders>
              <w:top w:val="nil"/>
              <w:left w:val="nil"/>
              <w:bottom w:val="nil"/>
              <w:right w:val="nil"/>
            </w:tcBorders>
            <w:shd w:val="clear" w:color="auto" w:fill="auto"/>
            <w:noWrap/>
            <w:vAlign w:val="center"/>
            <w:hideMark/>
          </w:tcPr>
          <w:p w14:paraId="757A007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0.92 (0.77, 1.08)</w:t>
            </w:r>
          </w:p>
        </w:tc>
      </w:tr>
      <w:tr w:rsidR="00DD73FF" w:rsidRPr="00A858D5" w14:paraId="3558F51E" w14:textId="77777777" w:rsidTr="001745CB">
        <w:trPr>
          <w:trHeight w:val="320"/>
        </w:trPr>
        <w:tc>
          <w:tcPr>
            <w:tcW w:w="120" w:type="pct"/>
            <w:tcBorders>
              <w:top w:val="nil"/>
              <w:left w:val="nil"/>
              <w:bottom w:val="nil"/>
              <w:right w:val="nil"/>
            </w:tcBorders>
            <w:shd w:val="clear" w:color="auto" w:fill="auto"/>
            <w:noWrap/>
            <w:vAlign w:val="bottom"/>
            <w:hideMark/>
          </w:tcPr>
          <w:p w14:paraId="6D7E7A61" w14:textId="77777777" w:rsidR="00DD73FF" w:rsidRPr="00A858D5" w:rsidRDefault="00DD73FF" w:rsidP="001745CB">
            <w:pPr>
              <w:jc w:val="center"/>
              <w:rPr>
                <w:rFonts w:ascii="Calibri" w:hAnsi="Calibri"/>
                <w:color w:val="000000"/>
                <w:sz w:val="21"/>
                <w:szCs w:val="21"/>
                <w:lang w:val="en-GB"/>
              </w:rPr>
            </w:pPr>
          </w:p>
        </w:tc>
        <w:tc>
          <w:tcPr>
            <w:tcW w:w="120" w:type="pct"/>
            <w:tcBorders>
              <w:top w:val="nil"/>
              <w:left w:val="nil"/>
              <w:bottom w:val="nil"/>
              <w:right w:val="nil"/>
            </w:tcBorders>
            <w:shd w:val="clear" w:color="auto" w:fill="auto"/>
            <w:noWrap/>
            <w:vAlign w:val="center"/>
            <w:hideMark/>
          </w:tcPr>
          <w:p w14:paraId="2829DDC4" w14:textId="77777777" w:rsidR="00DD73FF" w:rsidRPr="00A858D5" w:rsidRDefault="00DD73FF" w:rsidP="001745CB">
            <w:pPr>
              <w:rPr>
                <w:rFonts w:ascii="Times New Roman" w:hAnsi="Times New Roman"/>
                <w:sz w:val="21"/>
                <w:szCs w:val="21"/>
                <w:lang w:val="en-GB"/>
              </w:rPr>
            </w:pPr>
          </w:p>
        </w:tc>
        <w:tc>
          <w:tcPr>
            <w:tcW w:w="120" w:type="pct"/>
            <w:tcBorders>
              <w:top w:val="nil"/>
              <w:left w:val="nil"/>
              <w:bottom w:val="nil"/>
              <w:right w:val="nil"/>
            </w:tcBorders>
            <w:shd w:val="clear" w:color="auto" w:fill="auto"/>
            <w:noWrap/>
            <w:vAlign w:val="center"/>
            <w:hideMark/>
          </w:tcPr>
          <w:p w14:paraId="692D6BDC" w14:textId="77777777" w:rsidR="00DD73FF" w:rsidRPr="00A858D5" w:rsidRDefault="00DD73FF" w:rsidP="001745CB">
            <w:pPr>
              <w:rPr>
                <w:rFonts w:ascii="Times New Roman" w:hAnsi="Times New Roman"/>
                <w:sz w:val="21"/>
                <w:szCs w:val="21"/>
                <w:lang w:val="en-GB"/>
              </w:rPr>
            </w:pPr>
          </w:p>
        </w:tc>
        <w:tc>
          <w:tcPr>
            <w:tcW w:w="1188" w:type="pct"/>
            <w:tcBorders>
              <w:top w:val="nil"/>
              <w:left w:val="nil"/>
              <w:bottom w:val="nil"/>
              <w:right w:val="nil"/>
            </w:tcBorders>
            <w:shd w:val="clear" w:color="auto" w:fill="auto"/>
            <w:noWrap/>
            <w:vAlign w:val="center"/>
            <w:hideMark/>
          </w:tcPr>
          <w:p w14:paraId="0E8FD7F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363" w:type="pct"/>
            <w:tcBorders>
              <w:top w:val="nil"/>
              <w:left w:val="nil"/>
              <w:bottom w:val="nil"/>
              <w:right w:val="nil"/>
            </w:tcBorders>
            <w:shd w:val="clear" w:color="auto" w:fill="auto"/>
            <w:noWrap/>
            <w:vAlign w:val="center"/>
            <w:hideMark/>
          </w:tcPr>
          <w:p w14:paraId="3F5C56E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37,935</w:t>
            </w:r>
          </w:p>
        </w:tc>
        <w:tc>
          <w:tcPr>
            <w:tcW w:w="803" w:type="pct"/>
            <w:tcBorders>
              <w:top w:val="nil"/>
              <w:left w:val="nil"/>
              <w:bottom w:val="nil"/>
              <w:right w:val="nil"/>
            </w:tcBorders>
            <w:shd w:val="clear" w:color="auto" w:fill="auto"/>
            <w:noWrap/>
            <w:vAlign w:val="center"/>
            <w:hideMark/>
          </w:tcPr>
          <w:p w14:paraId="547DA1C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0.95 (0.90, 1.01)</w:t>
            </w:r>
          </w:p>
        </w:tc>
        <w:tc>
          <w:tcPr>
            <w:tcW w:w="363" w:type="pct"/>
            <w:tcBorders>
              <w:top w:val="nil"/>
              <w:left w:val="nil"/>
              <w:bottom w:val="nil"/>
              <w:right w:val="nil"/>
            </w:tcBorders>
            <w:shd w:val="clear" w:color="auto" w:fill="auto"/>
            <w:noWrap/>
            <w:vAlign w:val="center"/>
            <w:hideMark/>
          </w:tcPr>
          <w:p w14:paraId="72B4E17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11,680</w:t>
            </w:r>
          </w:p>
        </w:tc>
        <w:tc>
          <w:tcPr>
            <w:tcW w:w="803" w:type="pct"/>
            <w:tcBorders>
              <w:top w:val="nil"/>
              <w:left w:val="nil"/>
              <w:bottom w:val="nil"/>
              <w:right w:val="nil"/>
            </w:tcBorders>
            <w:shd w:val="clear" w:color="auto" w:fill="auto"/>
            <w:noWrap/>
            <w:vAlign w:val="center"/>
            <w:hideMark/>
          </w:tcPr>
          <w:p w14:paraId="203A10E2"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0.94 (0.80, 1.12)</w:t>
            </w:r>
          </w:p>
        </w:tc>
        <w:tc>
          <w:tcPr>
            <w:tcW w:w="363" w:type="pct"/>
            <w:tcBorders>
              <w:top w:val="nil"/>
              <w:left w:val="nil"/>
              <w:bottom w:val="nil"/>
              <w:right w:val="nil"/>
            </w:tcBorders>
            <w:shd w:val="clear" w:color="auto" w:fill="auto"/>
            <w:noWrap/>
            <w:vAlign w:val="center"/>
            <w:hideMark/>
          </w:tcPr>
          <w:p w14:paraId="6EA67DB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19,726</w:t>
            </w:r>
          </w:p>
        </w:tc>
        <w:tc>
          <w:tcPr>
            <w:tcW w:w="756" w:type="pct"/>
            <w:tcBorders>
              <w:top w:val="nil"/>
              <w:left w:val="nil"/>
              <w:bottom w:val="nil"/>
              <w:right w:val="nil"/>
            </w:tcBorders>
            <w:shd w:val="clear" w:color="auto" w:fill="auto"/>
            <w:noWrap/>
            <w:vAlign w:val="center"/>
            <w:hideMark/>
          </w:tcPr>
          <w:p w14:paraId="04330BD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0.95 (0.81, 1.13)</w:t>
            </w:r>
          </w:p>
        </w:tc>
      </w:tr>
      <w:tr w:rsidR="00DD73FF" w:rsidRPr="00A858D5" w14:paraId="5973DE97"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30C04F7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5CB5AB0C"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406FE03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center"/>
            <w:hideMark/>
          </w:tcPr>
          <w:p w14:paraId="1EFAB88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363" w:type="pct"/>
            <w:tcBorders>
              <w:top w:val="nil"/>
              <w:left w:val="nil"/>
              <w:bottom w:val="single" w:sz="4" w:space="0" w:color="auto"/>
              <w:right w:val="nil"/>
            </w:tcBorders>
            <w:shd w:val="clear" w:color="auto" w:fill="auto"/>
            <w:noWrap/>
            <w:vAlign w:val="center"/>
            <w:hideMark/>
          </w:tcPr>
          <w:p w14:paraId="13855B73"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54,401</w:t>
            </w:r>
          </w:p>
        </w:tc>
        <w:tc>
          <w:tcPr>
            <w:tcW w:w="803" w:type="pct"/>
            <w:tcBorders>
              <w:top w:val="nil"/>
              <w:left w:val="nil"/>
              <w:bottom w:val="single" w:sz="4" w:space="0" w:color="auto"/>
              <w:right w:val="nil"/>
            </w:tcBorders>
            <w:shd w:val="clear" w:color="auto" w:fill="auto"/>
            <w:noWrap/>
            <w:vAlign w:val="center"/>
            <w:hideMark/>
          </w:tcPr>
          <w:p w14:paraId="7E1206C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(0.92, </w:t>
            </w:r>
            <w:proofErr w:type="gramStart"/>
            <w:r w:rsidRPr="00A858D5">
              <w:rPr>
                <w:rFonts w:ascii="Calibri" w:hAnsi="Calibri"/>
                <w:color w:val="000000"/>
                <w:sz w:val="21"/>
                <w:szCs w:val="21"/>
                <w:lang w:val="en-GB"/>
              </w:rPr>
              <w:t>0.98)*</w:t>
            </w:r>
            <w:proofErr w:type="gramEnd"/>
          </w:p>
        </w:tc>
        <w:tc>
          <w:tcPr>
            <w:tcW w:w="363" w:type="pct"/>
            <w:tcBorders>
              <w:top w:val="nil"/>
              <w:left w:val="nil"/>
              <w:bottom w:val="single" w:sz="4" w:space="0" w:color="auto"/>
              <w:right w:val="nil"/>
            </w:tcBorders>
            <w:shd w:val="clear" w:color="auto" w:fill="auto"/>
            <w:noWrap/>
            <w:vAlign w:val="center"/>
            <w:hideMark/>
          </w:tcPr>
          <w:p w14:paraId="149B868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20,084</w:t>
            </w:r>
          </w:p>
        </w:tc>
        <w:tc>
          <w:tcPr>
            <w:tcW w:w="803" w:type="pct"/>
            <w:tcBorders>
              <w:top w:val="nil"/>
              <w:left w:val="nil"/>
              <w:bottom w:val="single" w:sz="4" w:space="0" w:color="auto"/>
              <w:right w:val="nil"/>
            </w:tcBorders>
            <w:shd w:val="clear" w:color="auto" w:fill="auto"/>
            <w:noWrap/>
            <w:vAlign w:val="center"/>
            <w:hideMark/>
          </w:tcPr>
          <w:p w14:paraId="2D855272"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0.95 (0.88, 1.03)</w:t>
            </w:r>
          </w:p>
        </w:tc>
        <w:tc>
          <w:tcPr>
            <w:tcW w:w="363" w:type="pct"/>
            <w:tcBorders>
              <w:top w:val="nil"/>
              <w:left w:val="nil"/>
              <w:bottom w:val="single" w:sz="4" w:space="0" w:color="auto"/>
              <w:right w:val="nil"/>
            </w:tcBorders>
            <w:shd w:val="clear" w:color="auto" w:fill="auto"/>
            <w:noWrap/>
            <w:vAlign w:val="center"/>
            <w:hideMark/>
          </w:tcPr>
          <w:p w14:paraId="6EB8B1F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35,040</w:t>
            </w:r>
          </w:p>
        </w:tc>
        <w:tc>
          <w:tcPr>
            <w:tcW w:w="756" w:type="pct"/>
            <w:tcBorders>
              <w:top w:val="nil"/>
              <w:left w:val="nil"/>
              <w:bottom w:val="single" w:sz="4" w:space="0" w:color="auto"/>
              <w:right w:val="nil"/>
            </w:tcBorders>
            <w:shd w:val="clear" w:color="auto" w:fill="auto"/>
            <w:noWrap/>
            <w:vAlign w:val="center"/>
            <w:hideMark/>
          </w:tcPr>
          <w:p w14:paraId="3E90F0D5"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0.95 (0.88, 1.03)</w:t>
            </w:r>
          </w:p>
        </w:tc>
      </w:tr>
    </w:tbl>
    <w:p w14:paraId="4D2F1E12" w14:textId="6B3CC087" w:rsidR="00DD73FF" w:rsidRPr="00A858D5" w:rsidRDefault="00DD73FF" w:rsidP="00DD73FF">
      <w:pPr>
        <w:rPr>
          <w:lang w:val="en-GB"/>
        </w:rPr>
      </w:pPr>
    </w:p>
    <w:p w14:paraId="2CFF4405" w14:textId="77777777" w:rsidR="00A1447A" w:rsidRPr="00A858D5" w:rsidRDefault="00A1447A" w:rsidP="00A1447A">
      <w:pPr>
        <w:rPr>
          <w:rFonts w:cstheme="minorHAnsi"/>
          <w:szCs w:val="22"/>
          <w:lang w:val="en-GB"/>
        </w:rPr>
      </w:pPr>
      <w:r w:rsidRPr="00A858D5">
        <w:rPr>
          <w:rFonts w:cstheme="minorHAnsi"/>
          <w:b/>
          <w:bCs/>
          <w:szCs w:val="22"/>
          <w:lang w:val="en-GB"/>
        </w:rPr>
        <w:t xml:space="preserve">Table 4. </w:t>
      </w:r>
      <w:r w:rsidRPr="00A858D5">
        <w:rPr>
          <w:rFonts w:cstheme="minorHAnsi"/>
          <w:szCs w:val="22"/>
          <w:lang w:val="en-GB"/>
        </w:rPr>
        <w:t>Adjusted associations and 95%CI between IQR increments of residential surrounding greenness and perceived neighbourhood greenness and natural cause mortality (HR), stratified by gender, educational attainment and migrant background. Brussels Capital Region, 2001-2014.</w:t>
      </w:r>
    </w:p>
    <w:p w14:paraId="14B2DE1A" w14:textId="77777777" w:rsidR="00A1447A" w:rsidRPr="00A858D5" w:rsidRDefault="00A1447A" w:rsidP="00DD73FF">
      <w:pPr>
        <w:rPr>
          <w:lang w:val="en-GB"/>
        </w:rPr>
      </w:pPr>
    </w:p>
    <w:p w14:paraId="23A182DD" w14:textId="77777777" w:rsidR="00DD73FF" w:rsidRPr="00A858D5" w:rsidRDefault="00DD73FF" w:rsidP="00DD73FF">
      <w:pPr>
        <w:rPr>
          <w:lang w:val="en-GB"/>
        </w:rPr>
      </w:pPr>
      <w:r w:rsidRPr="00A858D5">
        <w:rPr>
          <w:lang w:val="en-GB"/>
        </w:rPr>
        <w:br w:type="page"/>
      </w:r>
    </w:p>
    <w:p w14:paraId="00EAF7FC" w14:textId="77777777" w:rsidR="00DD73FF" w:rsidRPr="00A858D5" w:rsidRDefault="00DD73FF" w:rsidP="00DD73FF">
      <w:pPr>
        <w:rPr>
          <w:lang w:val="en-GB"/>
        </w:rPr>
      </w:pPr>
    </w:p>
    <w:tbl>
      <w:tblPr>
        <w:tblW w:w="5000" w:type="pct"/>
        <w:tblLook w:val="04A0" w:firstRow="1" w:lastRow="0" w:firstColumn="1" w:lastColumn="0" w:noHBand="0" w:noVBand="1"/>
      </w:tblPr>
      <w:tblGrid>
        <w:gridCol w:w="414"/>
        <w:gridCol w:w="415"/>
        <w:gridCol w:w="415"/>
        <w:gridCol w:w="3176"/>
        <w:gridCol w:w="1042"/>
        <w:gridCol w:w="2181"/>
        <w:gridCol w:w="1042"/>
        <w:gridCol w:w="2181"/>
        <w:gridCol w:w="1042"/>
        <w:gridCol w:w="2052"/>
      </w:tblGrid>
      <w:tr w:rsidR="00DD73FF" w:rsidRPr="00A858D5" w14:paraId="68866B54" w14:textId="77777777" w:rsidTr="001745CB">
        <w:trPr>
          <w:trHeight w:val="320"/>
        </w:trPr>
        <w:tc>
          <w:tcPr>
            <w:tcW w:w="120" w:type="pct"/>
            <w:tcBorders>
              <w:top w:val="single" w:sz="4" w:space="0" w:color="auto"/>
              <w:left w:val="nil"/>
              <w:bottom w:val="single" w:sz="4" w:space="0" w:color="auto"/>
              <w:right w:val="nil"/>
            </w:tcBorders>
            <w:shd w:val="clear" w:color="auto" w:fill="auto"/>
            <w:noWrap/>
            <w:vAlign w:val="bottom"/>
            <w:hideMark/>
          </w:tcPr>
          <w:p w14:paraId="51382C1A"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single" w:sz="4" w:space="0" w:color="auto"/>
              <w:left w:val="nil"/>
              <w:bottom w:val="single" w:sz="4" w:space="0" w:color="auto"/>
              <w:right w:val="nil"/>
            </w:tcBorders>
            <w:shd w:val="clear" w:color="auto" w:fill="auto"/>
            <w:noWrap/>
            <w:vAlign w:val="bottom"/>
            <w:hideMark/>
          </w:tcPr>
          <w:p w14:paraId="7300CC1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single" w:sz="4" w:space="0" w:color="auto"/>
              <w:left w:val="nil"/>
              <w:bottom w:val="single" w:sz="4" w:space="0" w:color="auto"/>
              <w:right w:val="nil"/>
            </w:tcBorders>
            <w:shd w:val="clear" w:color="auto" w:fill="auto"/>
            <w:noWrap/>
            <w:vAlign w:val="bottom"/>
            <w:hideMark/>
          </w:tcPr>
          <w:p w14:paraId="00A19FB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single" w:sz="4" w:space="0" w:color="auto"/>
              <w:left w:val="nil"/>
              <w:bottom w:val="single" w:sz="4" w:space="0" w:color="auto"/>
              <w:right w:val="nil"/>
            </w:tcBorders>
            <w:shd w:val="clear" w:color="auto" w:fill="auto"/>
            <w:noWrap/>
            <w:vAlign w:val="bottom"/>
            <w:hideMark/>
          </w:tcPr>
          <w:p w14:paraId="5377F1FC"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451" w:type="pct"/>
            <w:gridSpan w:val="6"/>
            <w:tcBorders>
              <w:top w:val="single" w:sz="4" w:space="0" w:color="auto"/>
              <w:left w:val="nil"/>
              <w:bottom w:val="single" w:sz="4" w:space="0" w:color="auto"/>
              <w:right w:val="nil"/>
            </w:tcBorders>
            <w:shd w:val="clear" w:color="auto" w:fill="auto"/>
            <w:noWrap/>
            <w:vAlign w:val="center"/>
            <w:hideMark/>
          </w:tcPr>
          <w:p w14:paraId="3B8B4297"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Natural cause mortality</w:t>
            </w:r>
          </w:p>
        </w:tc>
      </w:tr>
      <w:tr w:rsidR="00DD73FF" w:rsidRPr="00A858D5" w14:paraId="7F1D3A65"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07D05281"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5DF9E24C"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566B69B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bottom"/>
            <w:hideMark/>
          </w:tcPr>
          <w:p w14:paraId="71C408E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451" w:type="pct"/>
            <w:gridSpan w:val="6"/>
            <w:tcBorders>
              <w:top w:val="single" w:sz="4" w:space="0" w:color="auto"/>
              <w:left w:val="nil"/>
              <w:bottom w:val="single" w:sz="4" w:space="0" w:color="auto"/>
              <w:right w:val="nil"/>
            </w:tcBorders>
            <w:shd w:val="clear" w:color="auto" w:fill="auto"/>
            <w:noWrap/>
            <w:vAlign w:val="center"/>
            <w:hideMark/>
          </w:tcPr>
          <w:p w14:paraId="08960A7E"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Migrant background</w:t>
            </w:r>
          </w:p>
        </w:tc>
      </w:tr>
      <w:tr w:rsidR="00DD73FF" w:rsidRPr="00A858D5" w14:paraId="7A86372E"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1F561E7E"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45DC8D88"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392E785E"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bottom"/>
            <w:hideMark/>
          </w:tcPr>
          <w:p w14:paraId="46CC7F72"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67" w:type="pct"/>
            <w:gridSpan w:val="2"/>
            <w:tcBorders>
              <w:top w:val="single" w:sz="4" w:space="0" w:color="auto"/>
              <w:left w:val="nil"/>
              <w:bottom w:val="single" w:sz="4" w:space="0" w:color="auto"/>
              <w:right w:val="nil"/>
            </w:tcBorders>
            <w:shd w:val="clear" w:color="auto" w:fill="auto"/>
            <w:noWrap/>
            <w:vAlign w:val="center"/>
            <w:hideMark/>
          </w:tcPr>
          <w:p w14:paraId="2E421554"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Belgian</w:t>
            </w:r>
          </w:p>
        </w:tc>
        <w:tc>
          <w:tcPr>
            <w:tcW w:w="1167" w:type="pct"/>
            <w:gridSpan w:val="2"/>
            <w:tcBorders>
              <w:top w:val="single" w:sz="4" w:space="0" w:color="auto"/>
              <w:left w:val="nil"/>
              <w:bottom w:val="single" w:sz="4" w:space="0" w:color="auto"/>
              <w:right w:val="nil"/>
            </w:tcBorders>
            <w:shd w:val="clear" w:color="auto" w:fill="auto"/>
            <w:noWrap/>
            <w:vAlign w:val="center"/>
            <w:hideMark/>
          </w:tcPr>
          <w:p w14:paraId="3838F3FC"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Other HIC</w:t>
            </w:r>
          </w:p>
        </w:tc>
        <w:tc>
          <w:tcPr>
            <w:tcW w:w="1118" w:type="pct"/>
            <w:gridSpan w:val="2"/>
            <w:tcBorders>
              <w:top w:val="single" w:sz="4" w:space="0" w:color="auto"/>
              <w:left w:val="nil"/>
              <w:bottom w:val="single" w:sz="4" w:space="0" w:color="auto"/>
              <w:right w:val="nil"/>
            </w:tcBorders>
            <w:shd w:val="clear" w:color="auto" w:fill="auto"/>
            <w:noWrap/>
            <w:vAlign w:val="center"/>
            <w:hideMark/>
          </w:tcPr>
          <w:p w14:paraId="7BF4D46C"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LMIC</w:t>
            </w:r>
          </w:p>
        </w:tc>
      </w:tr>
      <w:tr w:rsidR="00DD73FF" w:rsidRPr="00A858D5" w14:paraId="239D4175"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09FFDAF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37802E4A"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bottom"/>
            <w:hideMark/>
          </w:tcPr>
          <w:p w14:paraId="4B7CB0B0"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bottom"/>
            <w:hideMark/>
          </w:tcPr>
          <w:p w14:paraId="099327AF"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363" w:type="pct"/>
            <w:tcBorders>
              <w:top w:val="nil"/>
              <w:left w:val="nil"/>
              <w:bottom w:val="single" w:sz="4" w:space="0" w:color="auto"/>
              <w:right w:val="nil"/>
            </w:tcBorders>
            <w:shd w:val="clear" w:color="auto" w:fill="auto"/>
            <w:noWrap/>
            <w:vAlign w:val="center"/>
            <w:hideMark/>
          </w:tcPr>
          <w:p w14:paraId="6D660C95"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804" w:type="pct"/>
            <w:tcBorders>
              <w:top w:val="nil"/>
              <w:left w:val="nil"/>
              <w:bottom w:val="single" w:sz="4" w:space="0" w:color="auto"/>
              <w:right w:val="nil"/>
            </w:tcBorders>
            <w:shd w:val="clear" w:color="auto" w:fill="auto"/>
            <w:noWrap/>
            <w:vAlign w:val="center"/>
            <w:hideMark/>
          </w:tcPr>
          <w:p w14:paraId="7EFDB02E"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HR (95%CI)</w:t>
            </w:r>
          </w:p>
        </w:tc>
        <w:tc>
          <w:tcPr>
            <w:tcW w:w="363" w:type="pct"/>
            <w:tcBorders>
              <w:top w:val="nil"/>
              <w:left w:val="nil"/>
              <w:bottom w:val="single" w:sz="4" w:space="0" w:color="auto"/>
              <w:right w:val="nil"/>
            </w:tcBorders>
            <w:shd w:val="clear" w:color="auto" w:fill="auto"/>
            <w:noWrap/>
            <w:vAlign w:val="center"/>
            <w:hideMark/>
          </w:tcPr>
          <w:p w14:paraId="655CBEE2"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804" w:type="pct"/>
            <w:tcBorders>
              <w:top w:val="nil"/>
              <w:left w:val="nil"/>
              <w:bottom w:val="single" w:sz="4" w:space="0" w:color="auto"/>
              <w:right w:val="nil"/>
            </w:tcBorders>
            <w:shd w:val="clear" w:color="auto" w:fill="auto"/>
            <w:noWrap/>
            <w:vAlign w:val="center"/>
            <w:hideMark/>
          </w:tcPr>
          <w:p w14:paraId="3213CCC7"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HR (95%CI)</w:t>
            </w:r>
          </w:p>
        </w:tc>
        <w:tc>
          <w:tcPr>
            <w:tcW w:w="363" w:type="pct"/>
            <w:tcBorders>
              <w:top w:val="nil"/>
              <w:left w:val="nil"/>
              <w:bottom w:val="single" w:sz="4" w:space="0" w:color="auto"/>
              <w:right w:val="nil"/>
            </w:tcBorders>
            <w:shd w:val="clear" w:color="auto" w:fill="auto"/>
            <w:noWrap/>
            <w:vAlign w:val="center"/>
            <w:hideMark/>
          </w:tcPr>
          <w:p w14:paraId="3CA3BE9E"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N</w:t>
            </w:r>
          </w:p>
        </w:tc>
        <w:tc>
          <w:tcPr>
            <w:tcW w:w="755" w:type="pct"/>
            <w:tcBorders>
              <w:top w:val="nil"/>
              <w:left w:val="nil"/>
              <w:bottom w:val="single" w:sz="4" w:space="0" w:color="auto"/>
              <w:right w:val="nil"/>
            </w:tcBorders>
            <w:shd w:val="clear" w:color="auto" w:fill="auto"/>
            <w:noWrap/>
            <w:vAlign w:val="center"/>
            <w:hideMark/>
          </w:tcPr>
          <w:p w14:paraId="70D48272" w14:textId="77777777" w:rsidR="00DD73FF" w:rsidRPr="00A858D5" w:rsidRDefault="00DD73FF" w:rsidP="001745CB">
            <w:pPr>
              <w:jc w:val="center"/>
              <w:rPr>
                <w:rFonts w:ascii="Calibri" w:hAnsi="Calibri"/>
                <w:b/>
                <w:bCs/>
                <w:color w:val="000000"/>
                <w:sz w:val="21"/>
                <w:szCs w:val="21"/>
                <w:lang w:val="en-GB"/>
              </w:rPr>
            </w:pPr>
            <w:r w:rsidRPr="00A858D5">
              <w:rPr>
                <w:rFonts w:ascii="Calibri" w:hAnsi="Calibri"/>
                <w:b/>
                <w:bCs/>
                <w:color w:val="000000"/>
                <w:sz w:val="21"/>
                <w:szCs w:val="21"/>
                <w:lang w:val="en-GB"/>
              </w:rPr>
              <w:t>HR (95%CI)</w:t>
            </w:r>
          </w:p>
        </w:tc>
      </w:tr>
      <w:tr w:rsidR="00DD73FF" w:rsidRPr="00A858D5" w14:paraId="6D230718" w14:textId="77777777" w:rsidTr="001745CB">
        <w:trPr>
          <w:trHeight w:val="320"/>
        </w:trPr>
        <w:tc>
          <w:tcPr>
            <w:tcW w:w="1549" w:type="pct"/>
            <w:gridSpan w:val="4"/>
            <w:tcBorders>
              <w:top w:val="single" w:sz="4" w:space="0" w:color="auto"/>
              <w:left w:val="nil"/>
              <w:bottom w:val="single" w:sz="4" w:space="0" w:color="auto"/>
              <w:right w:val="nil"/>
            </w:tcBorders>
            <w:shd w:val="clear" w:color="auto" w:fill="auto"/>
            <w:noWrap/>
            <w:vAlign w:val="center"/>
            <w:hideMark/>
          </w:tcPr>
          <w:p w14:paraId="62E4EAA9"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Perceived neighbourhood greenness</w:t>
            </w:r>
          </w:p>
        </w:tc>
        <w:tc>
          <w:tcPr>
            <w:tcW w:w="363" w:type="pct"/>
            <w:tcBorders>
              <w:top w:val="nil"/>
              <w:left w:val="nil"/>
              <w:bottom w:val="single" w:sz="4" w:space="0" w:color="auto"/>
              <w:right w:val="nil"/>
            </w:tcBorders>
            <w:shd w:val="clear" w:color="auto" w:fill="auto"/>
            <w:noWrap/>
            <w:vAlign w:val="center"/>
            <w:hideMark/>
          </w:tcPr>
          <w:p w14:paraId="030B4857"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62E2D725"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3364805C"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319D12B4"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71E34F97" w14:textId="77777777" w:rsidR="00DD73FF" w:rsidRPr="00A858D5" w:rsidRDefault="00DD73FF" w:rsidP="001745CB">
            <w:pPr>
              <w:jc w:val="center"/>
              <w:rPr>
                <w:rFonts w:ascii="Calibri" w:hAnsi="Calibri"/>
                <w:color w:val="000000"/>
                <w:sz w:val="21"/>
                <w:szCs w:val="21"/>
                <w:lang w:val="en-GB"/>
              </w:rPr>
            </w:pPr>
          </w:p>
        </w:tc>
        <w:tc>
          <w:tcPr>
            <w:tcW w:w="755" w:type="pct"/>
            <w:tcBorders>
              <w:top w:val="nil"/>
              <w:left w:val="nil"/>
              <w:bottom w:val="single" w:sz="4" w:space="0" w:color="auto"/>
              <w:right w:val="nil"/>
            </w:tcBorders>
            <w:shd w:val="clear" w:color="auto" w:fill="auto"/>
            <w:noWrap/>
            <w:vAlign w:val="center"/>
            <w:hideMark/>
          </w:tcPr>
          <w:p w14:paraId="387149A5" w14:textId="77777777" w:rsidR="00DD73FF" w:rsidRPr="00A858D5" w:rsidRDefault="00DD73FF" w:rsidP="001745CB">
            <w:pPr>
              <w:jc w:val="center"/>
              <w:rPr>
                <w:rFonts w:ascii="Calibri" w:hAnsi="Calibri"/>
                <w:color w:val="000000"/>
                <w:sz w:val="21"/>
                <w:szCs w:val="21"/>
                <w:lang w:val="en-GB"/>
              </w:rPr>
            </w:pPr>
          </w:p>
        </w:tc>
      </w:tr>
      <w:tr w:rsidR="00DD73FF" w:rsidRPr="00A858D5" w14:paraId="0023C84A"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73D420D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428" w:type="pct"/>
            <w:gridSpan w:val="3"/>
            <w:tcBorders>
              <w:top w:val="single" w:sz="4" w:space="0" w:color="auto"/>
              <w:left w:val="nil"/>
              <w:bottom w:val="single" w:sz="4" w:space="0" w:color="auto"/>
              <w:right w:val="nil"/>
            </w:tcBorders>
            <w:shd w:val="clear" w:color="auto" w:fill="auto"/>
            <w:noWrap/>
            <w:vAlign w:val="center"/>
            <w:hideMark/>
          </w:tcPr>
          <w:p w14:paraId="2BFD0BDC"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Women</w:t>
            </w:r>
          </w:p>
        </w:tc>
        <w:tc>
          <w:tcPr>
            <w:tcW w:w="363" w:type="pct"/>
            <w:tcBorders>
              <w:top w:val="nil"/>
              <w:left w:val="nil"/>
              <w:bottom w:val="single" w:sz="4" w:space="0" w:color="auto"/>
              <w:right w:val="nil"/>
            </w:tcBorders>
            <w:shd w:val="clear" w:color="auto" w:fill="auto"/>
            <w:noWrap/>
            <w:vAlign w:val="center"/>
            <w:hideMark/>
          </w:tcPr>
          <w:p w14:paraId="25BCC779"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563D2A8C"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0396228B"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31B7CE44"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7370E124" w14:textId="77777777" w:rsidR="00DD73FF" w:rsidRPr="00A858D5" w:rsidRDefault="00DD73FF" w:rsidP="001745CB">
            <w:pPr>
              <w:jc w:val="center"/>
              <w:rPr>
                <w:rFonts w:ascii="Calibri" w:hAnsi="Calibri"/>
                <w:color w:val="000000"/>
                <w:sz w:val="21"/>
                <w:szCs w:val="21"/>
                <w:lang w:val="en-GB"/>
              </w:rPr>
            </w:pPr>
          </w:p>
        </w:tc>
        <w:tc>
          <w:tcPr>
            <w:tcW w:w="755" w:type="pct"/>
            <w:tcBorders>
              <w:top w:val="nil"/>
              <w:left w:val="nil"/>
              <w:bottom w:val="single" w:sz="4" w:space="0" w:color="auto"/>
              <w:right w:val="nil"/>
            </w:tcBorders>
            <w:shd w:val="clear" w:color="auto" w:fill="auto"/>
            <w:noWrap/>
            <w:vAlign w:val="center"/>
            <w:hideMark/>
          </w:tcPr>
          <w:p w14:paraId="4C7A0522" w14:textId="77777777" w:rsidR="00DD73FF" w:rsidRPr="00A858D5" w:rsidRDefault="00DD73FF" w:rsidP="001745CB">
            <w:pPr>
              <w:jc w:val="center"/>
              <w:rPr>
                <w:rFonts w:ascii="Calibri" w:hAnsi="Calibri"/>
                <w:color w:val="000000"/>
                <w:sz w:val="21"/>
                <w:szCs w:val="21"/>
                <w:lang w:val="en-GB"/>
              </w:rPr>
            </w:pPr>
          </w:p>
        </w:tc>
      </w:tr>
      <w:tr w:rsidR="00DD73FF" w:rsidRPr="00A858D5" w14:paraId="50C3B6E1"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77C777AD"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3A471BEA"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 </w:t>
            </w:r>
          </w:p>
        </w:tc>
        <w:tc>
          <w:tcPr>
            <w:tcW w:w="1308" w:type="pct"/>
            <w:gridSpan w:val="2"/>
            <w:tcBorders>
              <w:top w:val="single" w:sz="4" w:space="0" w:color="auto"/>
              <w:left w:val="nil"/>
              <w:bottom w:val="single" w:sz="4" w:space="0" w:color="auto"/>
              <w:right w:val="nil"/>
            </w:tcBorders>
            <w:shd w:val="clear" w:color="auto" w:fill="auto"/>
            <w:noWrap/>
            <w:vAlign w:val="center"/>
            <w:hideMark/>
          </w:tcPr>
          <w:p w14:paraId="5506AFCE"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363" w:type="pct"/>
            <w:tcBorders>
              <w:top w:val="nil"/>
              <w:left w:val="nil"/>
              <w:bottom w:val="single" w:sz="4" w:space="0" w:color="auto"/>
              <w:right w:val="nil"/>
            </w:tcBorders>
            <w:shd w:val="clear" w:color="auto" w:fill="auto"/>
            <w:noWrap/>
            <w:vAlign w:val="center"/>
            <w:hideMark/>
          </w:tcPr>
          <w:p w14:paraId="7C935CD5"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3C5D3FE8"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606969BE"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470A7C48"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784EC353" w14:textId="77777777" w:rsidR="00DD73FF" w:rsidRPr="00A858D5" w:rsidRDefault="00DD73FF" w:rsidP="001745CB">
            <w:pPr>
              <w:jc w:val="center"/>
              <w:rPr>
                <w:rFonts w:ascii="Calibri" w:hAnsi="Calibri"/>
                <w:color w:val="000000"/>
                <w:sz w:val="21"/>
                <w:szCs w:val="21"/>
                <w:lang w:val="en-GB"/>
              </w:rPr>
            </w:pPr>
          </w:p>
        </w:tc>
        <w:tc>
          <w:tcPr>
            <w:tcW w:w="755" w:type="pct"/>
            <w:tcBorders>
              <w:top w:val="nil"/>
              <w:left w:val="nil"/>
              <w:bottom w:val="single" w:sz="4" w:space="0" w:color="auto"/>
              <w:right w:val="nil"/>
            </w:tcBorders>
            <w:shd w:val="clear" w:color="auto" w:fill="auto"/>
            <w:noWrap/>
            <w:vAlign w:val="center"/>
            <w:hideMark/>
          </w:tcPr>
          <w:p w14:paraId="00A839F2" w14:textId="77777777" w:rsidR="00DD73FF" w:rsidRPr="00A858D5" w:rsidRDefault="00DD73FF" w:rsidP="001745CB">
            <w:pPr>
              <w:jc w:val="center"/>
              <w:rPr>
                <w:rFonts w:ascii="Calibri" w:hAnsi="Calibri"/>
                <w:color w:val="000000"/>
                <w:sz w:val="21"/>
                <w:szCs w:val="21"/>
                <w:lang w:val="en-GB"/>
              </w:rPr>
            </w:pPr>
          </w:p>
        </w:tc>
      </w:tr>
      <w:tr w:rsidR="00DD73FF" w:rsidRPr="00A858D5" w14:paraId="4B3F0F5A" w14:textId="77777777" w:rsidTr="001745CB">
        <w:trPr>
          <w:trHeight w:val="320"/>
        </w:trPr>
        <w:tc>
          <w:tcPr>
            <w:tcW w:w="120" w:type="pct"/>
            <w:tcBorders>
              <w:top w:val="nil"/>
              <w:left w:val="nil"/>
              <w:bottom w:val="nil"/>
              <w:right w:val="nil"/>
            </w:tcBorders>
            <w:shd w:val="clear" w:color="auto" w:fill="auto"/>
            <w:noWrap/>
            <w:vAlign w:val="bottom"/>
            <w:hideMark/>
          </w:tcPr>
          <w:p w14:paraId="7F4BB7E4" w14:textId="77777777" w:rsidR="00DD73FF" w:rsidRPr="00A858D5" w:rsidRDefault="00DD73FF" w:rsidP="001745CB">
            <w:pPr>
              <w:rPr>
                <w:rFonts w:ascii="Calibri" w:hAnsi="Calibri"/>
                <w:color w:val="000000"/>
                <w:sz w:val="21"/>
                <w:szCs w:val="21"/>
                <w:lang w:val="en-GB"/>
              </w:rPr>
            </w:pPr>
          </w:p>
        </w:tc>
        <w:tc>
          <w:tcPr>
            <w:tcW w:w="120" w:type="pct"/>
            <w:tcBorders>
              <w:top w:val="nil"/>
              <w:left w:val="nil"/>
              <w:bottom w:val="nil"/>
              <w:right w:val="nil"/>
            </w:tcBorders>
            <w:shd w:val="clear" w:color="auto" w:fill="auto"/>
            <w:noWrap/>
            <w:vAlign w:val="center"/>
            <w:hideMark/>
          </w:tcPr>
          <w:p w14:paraId="16DAAF8D" w14:textId="77777777" w:rsidR="00DD73FF" w:rsidRPr="00A858D5" w:rsidRDefault="00DD73FF" w:rsidP="001745CB">
            <w:pPr>
              <w:rPr>
                <w:rFonts w:ascii="Times New Roman" w:hAnsi="Times New Roman"/>
                <w:sz w:val="21"/>
                <w:szCs w:val="21"/>
                <w:lang w:val="en-GB"/>
              </w:rPr>
            </w:pPr>
          </w:p>
        </w:tc>
        <w:tc>
          <w:tcPr>
            <w:tcW w:w="120" w:type="pct"/>
            <w:tcBorders>
              <w:top w:val="nil"/>
              <w:left w:val="nil"/>
              <w:bottom w:val="nil"/>
              <w:right w:val="nil"/>
            </w:tcBorders>
            <w:shd w:val="clear" w:color="auto" w:fill="auto"/>
            <w:noWrap/>
            <w:vAlign w:val="center"/>
            <w:hideMark/>
          </w:tcPr>
          <w:p w14:paraId="5E8D624D" w14:textId="77777777" w:rsidR="00DD73FF" w:rsidRPr="00A858D5" w:rsidRDefault="00DD73FF" w:rsidP="001745CB">
            <w:pPr>
              <w:rPr>
                <w:rFonts w:ascii="Times New Roman" w:hAnsi="Times New Roman"/>
                <w:sz w:val="21"/>
                <w:szCs w:val="21"/>
                <w:lang w:val="en-GB"/>
              </w:rPr>
            </w:pPr>
          </w:p>
        </w:tc>
        <w:tc>
          <w:tcPr>
            <w:tcW w:w="1188" w:type="pct"/>
            <w:tcBorders>
              <w:top w:val="nil"/>
              <w:left w:val="nil"/>
              <w:bottom w:val="nil"/>
              <w:right w:val="nil"/>
            </w:tcBorders>
            <w:shd w:val="clear" w:color="auto" w:fill="auto"/>
            <w:noWrap/>
            <w:vAlign w:val="center"/>
            <w:hideMark/>
          </w:tcPr>
          <w:p w14:paraId="71011902"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363" w:type="pct"/>
            <w:tcBorders>
              <w:top w:val="nil"/>
              <w:left w:val="nil"/>
              <w:bottom w:val="nil"/>
              <w:right w:val="nil"/>
            </w:tcBorders>
            <w:shd w:val="clear" w:color="auto" w:fill="auto"/>
            <w:noWrap/>
            <w:vAlign w:val="center"/>
            <w:hideMark/>
          </w:tcPr>
          <w:p w14:paraId="5229574A"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62,493</w:t>
            </w:r>
          </w:p>
        </w:tc>
        <w:tc>
          <w:tcPr>
            <w:tcW w:w="804" w:type="pct"/>
            <w:tcBorders>
              <w:top w:val="nil"/>
              <w:left w:val="nil"/>
              <w:bottom w:val="nil"/>
              <w:right w:val="nil"/>
            </w:tcBorders>
            <w:shd w:val="clear" w:color="auto" w:fill="auto"/>
            <w:noWrap/>
            <w:vAlign w:val="center"/>
            <w:hideMark/>
          </w:tcPr>
          <w:p w14:paraId="17068B93"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0.96 (0.90, 1.02)</w:t>
            </w:r>
          </w:p>
        </w:tc>
        <w:tc>
          <w:tcPr>
            <w:tcW w:w="363" w:type="pct"/>
            <w:tcBorders>
              <w:top w:val="nil"/>
              <w:left w:val="nil"/>
              <w:bottom w:val="nil"/>
              <w:right w:val="nil"/>
            </w:tcBorders>
            <w:shd w:val="clear" w:color="auto" w:fill="auto"/>
            <w:noWrap/>
            <w:vAlign w:val="center"/>
            <w:hideMark/>
          </w:tcPr>
          <w:p w14:paraId="71254A23"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21,610</w:t>
            </w:r>
          </w:p>
        </w:tc>
        <w:tc>
          <w:tcPr>
            <w:tcW w:w="804" w:type="pct"/>
            <w:tcBorders>
              <w:top w:val="nil"/>
              <w:left w:val="nil"/>
              <w:bottom w:val="nil"/>
              <w:right w:val="nil"/>
            </w:tcBorders>
            <w:shd w:val="clear" w:color="auto" w:fill="auto"/>
            <w:noWrap/>
            <w:vAlign w:val="center"/>
            <w:hideMark/>
          </w:tcPr>
          <w:p w14:paraId="3E9A025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1.00 (0.82, 1.21)</w:t>
            </w:r>
          </w:p>
        </w:tc>
        <w:tc>
          <w:tcPr>
            <w:tcW w:w="363" w:type="pct"/>
            <w:tcBorders>
              <w:top w:val="nil"/>
              <w:left w:val="nil"/>
              <w:bottom w:val="nil"/>
              <w:right w:val="nil"/>
            </w:tcBorders>
            <w:shd w:val="clear" w:color="auto" w:fill="auto"/>
            <w:noWrap/>
            <w:vAlign w:val="center"/>
            <w:hideMark/>
          </w:tcPr>
          <w:p w14:paraId="3558DDE2"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13,698</w:t>
            </w:r>
          </w:p>
        </w:tc>
        <w:tc>
          <w:tcPr>
            <w:tcW w:w="755" w:type="pct"/>
            <w:tcBorders>
              <w:top w:val="nil"/>
              <w:left w:val="nil"/>
              <w:bottom w:val="nil"/>
              <w:right w:val="nil"/>
            </w:tcBorders>
            <w:shd w:val="clear" w:color="auto" w:fill="auto"/>
            <w:noWrap/>
            <w:vAlign w:val="center"/>
            <w:hideMark/>
          </w:tcPr>
          <w:p w14:paraId="2D4500DE"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1.02 (0.79, 1.30)</w:t>
            </w:r>
          </w:p>
        </w:tc>
      </w:tr>
      <w:tr w:rsidR="00DD73FF" w:rsidRPr="00A858D5" w14:paraId="648F47EB" w14:textId="77777777" w:rsidTr="001745CB">
        <w:trPr>
          <w:trHeight w:val="320"/>
        </w:trPr>
        <w:tc>
          <w:tcPr>
            <w:tcW w:w="120" w:type="pct"/>
            <w:tcBorders>
              <w:top w:val="nil"/>
              <w:left w:val="nil"/>
              <w:bottom w:val="nil"/>
              <w:right w:val="nil"/>
            </w:tcBorders>
            <w:shd w:val="clear" w:color="auto" w:fill="auto"/>
            <w:noWrap/>
            <w:vAlign w:val="bottom"/>
            <w:hideMark/>
          </w:tcPr>
          <w:p w14:paraId="4D3CCD35" w14:textId="77777777" w:rsidR="00DD73FF" w:rsidRPr="00A858D5" w:rsidRDefault="00DD73FF" w:rsidP="001745CB">
            <w:pPr>
              <w:jc w:val="center"/>
              <w:rPr>
                <w:rFonts w:ascii="Calibri" w:hAnsi="Calibri"/>
                <w:color w:val="000000"/>
                <w:sz w:val="21"/>
                <w:szCs w:val="21"/>
                <w:lang w:val="en-GB"/>
              </w:rPr>
            </w:pPr>
          </w:p>
        </w:tc>
        <w:tc>
          <w:tcPr>
            <w:tcW w:w="120" w:type="pct"/>
            <w:tcBorders>
              <w:top w:val="nil"/>
              <w:left w:val="nil"/>
              <w:bottom w:val="nil"/>
              <w:right w:val="nil"/>
            </w:tcBorders>
            <w:shd w:val="clear" w:color="auto" w:fill="auto"/>
            <w:noWrap/>
            <w:vAlign w:val="center"/>
            <w:hideMark/>
          </w:tcPr>
          <w:p w14:paraId="3099381B" w14:textId="77777777" w:rsidR="00DD73FF" w:rsidRPr="00A858D5" w:rsidRDefault="00DD73FF" w:rsidP="001745CB">
            <w:pPr>
              <w:rPr>
                <w:rFonts w:ascii="Times New Roman" w:hAnsi="Times New Roman"/>
                <w:sz w:val="21"/>
                <w:szCs w:val="21"/>
                <w:lang w:val="en-GB"/>
              </w:rPr>
            </w:pPr>
          </w:p>
        </w:tc>
        <w:tc>
          <w:tcPr>
            <w:tcW w:w="120" w:type="pct"/>
            <w:tcBorders>
              <w:top w:val="nil"/>
              <w:left w:val="nil"/>
              <w:bottom w:val="nil"/>
              <w:right w:val="nil"/>
            </w:tcBorders>
            <w:shd w:val="clear" w:color="auto" w:fill="auto"/>
            <w:noWrap/>
            <w:vAlign w:val="center"/>
            <w:hideMark/>
          </w:tcPr>
          <w:p w14:paraId="010A3316" w14:textId="77777777" w:rsidR="00DD73FF" w:rsidRPr="00A858D5" w:rsidRDefault="00DD73FF" w:rsidP="001745CB">
            <w:pPr>
              <w:rPr>
                <w:rFonts w:ascii="Times New Roman" w:hAnsi="Times New Roman"/>
                <w:sz w:val="21"/>
                <w:szCs w:val="21"/>
                <w:lang w:val="en-GB"/>
              </w:rPr>
            </w:pPr>
          </w:p>
        </w:tc>
        <w:tc>
          <w:tcPr>
            <w:tcW w:w="1188" w:type="pct"/>
            <w:tcBorders>
              <w:top w:val="nil"/>
              <w:left w:val="nil"/>
              <w:bottom w:val="nil"/>
              <w:right w:val="nil"/>
            </w:tcBorders>
            <w:shd w:val="clear" w:color="auto" w:fill="auto"/>
            <w:noWrap/>
            <w:vAlign w:val="center"/>
            <w:hideMark/>
          </w:tcPr>
          <w:p w14:paraId="7F568D3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363" w:type="pct"/>
            <w:tcBorders>
              <w:top w:val="nil"/>
              <w:left w:val="nil"/>
              <w:bottom w:val="nil"/>
              <w:right w:val="nil"/>
            </w:tcBorders>
            <w:shd w:val="clear" w:color="auto" w:fill="auto"/>
            <w:noWrap/>
            <w:vAlign w:val="center"/>
            <w:hideMark/>
          </w:tcPr>
          <w:p w14:paraId="36742FA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44,069</w:t>
            </w:r>
          </w:p>
        </w:tc>
        <w:tc>
          <w:tcPr>
            <w:tcW w:w="804" w:type="pct"/>
            <w:tcBorders>
              <w:top w:val="nil"/>
              <w:left w:val="nil"/>
              <w:bottom w:val="nil"/>
              <w:right w:val="nil"/>
            </w:tcBorders>
            <w:shd w:val="clear" w:color="auto" w:fill="auto"/>
            <w:noWrap/>
            <w:vAlign w:val="center"/>
            <w:hideMark/>
          </w:tcPr>
          <w:p w14:paraId="2253FEC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0.97 (0.92, 1.02)</w:t>
            </w:r>
          </w:p>
        </w:tc>
        <w:tc>
          <w:tcPr>
            <w:tcW w:w="363" w:type="pct"/>
            <w:tcBorders>
              <w:top w:val="nil"/>
              <w:left w:val="nil"/>
              <w:bottom w:val="nil"/>
              <w:right w:val="nil"/>
            </w:tcBorders>
            <w:shd w:val="clear" w:color="auto" w:fill="auto"/>
            <w:noWrap/>
            <w:vAlign w:val="center"/>
            <w:hideMark/>
          </w:tcPr>
          <w:p w14:paraId="0B627A4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13,496</w:t>
            </w:r>
          </w:p>
        </w:tc>
        <w:tc>
          <w:tcPr>
            <w:tcW w:w="804" w:type="pct"/>
            <w:tcBorders>
              <w:top w:val="nil"/>
              <w:left w:val="nil"/>
              <w:bottom w:val="nil"/>
              <w:right w:val="nil"/>
            </w:tcBorders>
            <w:shd w:val="clear" w:color="auto" w:fill="auto"/>
            <w:noWrap/>
            <w:vAlign w:val="center"/>
            <w:hideMark/>
          </w:tcPr>
          <w:p w14:paraId="5BF9C90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0.83 (0.71, </w:t>
            </w:r>
            <w:proofErr w:type="gramStart"/>
            <w:r w:rsidRPr="00A858D5">
              <w:rPr>
                <w:rFonts w:ascii="Calibri" w:hAnsi="Calibri"/>
                <w:color w:val="000000"/>
                <w:sz w:val="21"/>
                <w:szCs w:val="21"/>
                <w:lang w:val="en-GB"/>
              </w:rPr>
              <w:t>0.97)*</w:t>
            </w:r>
            <w:proofErr w:type="gramEnd"/>
          </w:p>
        </w:tc>
        <w:tc>
          <w:tcPr>
            <w:tcW w:w="363" w:type="pct"/>
            <w:tcBorders>
              <w:top w:val="nil"/>
              <w:left w:val="nil"/>
              <w:bottom w:val="nil"/>
              <w:right w:val="nil"/>
            </w:tcBorders>
            <w:shd w:val="clear" w:color="auto" w:fill="auto"/>
            <w:noWrap/>
            <w:vAlign w:val="center"/>
            <w:hideMark/>
          </w:tcPr>
          <w:p w14:paraId="18A256E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19,437</w:t>
            </w:r>
          </w:p>
        </w:tc>
        <w:tc>
          <w:tcPr>
            <w:tcW w:w="755" w:type="pct"/>
            <w:tcBorders>
              <w:top w:val="nil"/>
              <w:left w:val="nil"/>
              <w:bottom w:val="nil"/>
              <w:right w:val="nil"/>
            </w:tcBorders>
            <w:shd w:val="clear" w:color="auto" w:fill="auto"/>
            <w:noWrap/>
            <w:vAlign w:val="center"/>
            <w:hideMark/>
          </w:tcPr>
          <w:p w14:paraId="26ECC6B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1.03 (0.83, 1.26)</w:t>
            </w:r>
          </w:p>
        </w:tc>
      </w:tr>
      <w:tr w:rsidR="00DD73FF" w:rsidRPr="00A858D5" w14:paraId="16548780"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67C6F77B"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57112637"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47F3E179"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center"/>
            <w:hideMark/>
          </w:tcPr>
          <w:p w14:paraId="721DC276"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363" w:type="pct"/>
            <w:tcBorders>
              <w:top w:val="nil"/>
              <w:left w:val="nil"/>
              <w:bottom w:val="single" w:sz="4" w:space="0" w:color="auto"/>
              <w:right w:val="nil"/>
            </w:tcBorders>
            <w:shd w:val="clear" w:color="auto" w:fill="auto"/>
            <w:noWrap/>
            <w:vAlign w:val="center"/>
            <w:hideMark/>
          </w:tcPr>
          <w:p w14:paraId="7ABA0B1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66,965</w:t>
            </w:r>
          </w:p>
        </w:tc>
        <w:tc>
          <w:tcPr>
            <w:tcW w:w="804" w:type="pct"/>
            <w:tcBorders>
              <w:top w:val="nil"/>
              <w:left w:val="nil"/>
              <w:bottom w:val="single" w:sz="4" w:space="0" w:color="auto"/>
              <w:right w:val="nil"/>
            </w:tcBorders>
            <w:shd w:val="clear" w:color="auto" w:fill="auto"/>
            <w:noWrap/>
            <w:vAlign w:val="center"/>
            <w:hideMark/>
          </w:tcPr>
          <w:p w14:paraId="4E489D0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0.93 (0.91, </w:t>
            </w:r>
            <w:proofErr w:type="gramStart"/>
            <w:r w:rsidRPr="00A858D5">
              <w:rPr>
                <w:rFonts w:ascii="Calibri" w:hAnsi="Calibri"/>
                <w:color w:val="000000"/>
                <w:sz w:val="21"/>
                <w:szCs w:val="21"/>
                <w:lang w:val="en-GB"/>
              </w:rPr>
              <w:t>0.96)*</w:t>
            </w:r>
            <w:proofErr w:type="gramEnd"/>
          </w:p>
        </w:tc>
        <w:tc>
          <w:tcPr>
            <w:tcW w:w="363" w:type="pct"/>
            <w:tcBorders>
              <w:top w:val="nil"/>
              <w:left w:val="nil"/>
              <w:bottom w:val="single" w:sz="4" w:space="0" w:color="auto"/>
              <w:right w:val="nil"/>
            </w:tcBorders>
            <w:shd w:val="clear" w:color="auto" w:fill="auto"/>
            <w:noWrap/>
            <w:vAlign w:val="center"/>
            <w:hideMark/>
          </w:tcPr>
          <w:p w14:paraId="52BC81B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21,184</w:t>
            </w:r>
          </w:p>
        </w:tc>
        <w:tc>
          <w:tcPr>
            <w:tcW w:w="804" w:type="pct"/>
            <w:tcBorders>
              <w:top w:val="nil"/>
              <w:left w:val="nil"/>
              <w:bottom w:val="single" w:sz="4" w:space="0" w:color="auto"/>
              <w:right w:val="nil"/>
            </w:tcBorders>
            <w:shd w:val="clear" w:color="auto" w:fill="auto"/>
            <w:noWrap/>
            <w:vAlign w:val="center"/>
            <w:hideMark/>
          </w:tcPr>
          <w:p w14:paraId="24C8119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0.94 (0.86, 1.02)</w:t>
            </w:r>
          </w:p>
        </w:tc>
        <w:tc>
          <w:tcPr>
            <w:tcW w:w="363" w:type="pct"/>
            <w:tcBorders>
              <w:top w:val="nil"/>
              <w:left w:val="nil"/>
              <w:bottom w:val="single" w:sz="4" w:space="0" w:color="auto"/>
              <w:right w:val="nil"/>
            </w:tcBorders>
            <w:shd w:val="clear" w:color="auto" w:fill="auto"/>
            <w:noWrap/>
            <w:vAlign w:val="center"/>
            <w:hideMark/>
          </w:tcPr>
          <w:p w14:paraId="2A584AE4"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36,261</w:t>
            </w:r>
          </w:p>
        </w:tc>
        <w:tc>
          <w:tcPr>
            <w:tcW w:w="755" w:type="pct"/>
            <w:tcBorders>
              <w:top w:val="nil"/>
              <w:left w:val="nil"/>
              <w:bottom w:val="single" w:sz="4" w:space="0" w:color="auto"/>
              <w:right w:val="nil"/>
            </w:tcBorders>
            <w:shd w:val="clear" w:color="auto" w:fill="auto"/>
            <w:noWrap/>
            <w:vAlign w:val="center"/>
            <w:hideMark/>
          </w:tcPr>
          <w:p w14:paraId="183DCFA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0.93 (0.84, 1.03)</w:t>
            </w:r>
          </w:p>
        </w:tc>
      </w:tr>
      <w:tr w:rsidR="00DD73FF" w:rsidRPr="00A858D5" w14:paraId="3FEF7B17"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43DEEBB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428" w:type="pct"/>
            <w:gridSpan w:val="3"/>
            <w:tcBorders>
              <w:top w:val="single" w:sz="4" w:space="0" w:color="auto"/>
              <w:left w:val="nil"/>
              <w:bottom w:val="single" w:sz="4" w:space="0" w:color="auto"/>
              <w:right w:val="nil"/>
            </w:tcBorders>
            <w:shd w:val="clear" w:color="auto" w:fill="auto"/>
            <w:noWrap/>
            <w:vAlign w:val="center"/>
            <w:hideMark/>
          </w:tcPr>
          <w:p w14:paraId="5A0526B0"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Men</w:t>
            </w:r>
          </w:p>
        </w:tc>
        <w:tc>
          <w:tcPr>
            <w:tcW w:w="363" w:type="pct"/>
            <w:tcBorders>
              <w:top w:val="nil"/>
              <w:left w:val="nil"/>
              <w:bottom w:val="single" w:sz="4" w:space="0" w:color="auto"/>
              <w:right w:val="nil"/>
            </w:tcBorders>
            <w:shd w:val="clear" w:color="auto" w:fill="auto"/>
            <w:noWrap/>
            <w:vAlign w:val="center"/>
            <w:hideMark/>
          </w:tcPr>
          <w:p w14:paraId="12AA2706"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24A7D90A"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563E0F87"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25E67F0B"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16A48A09" w14:textId="77777777" w:rsidR="00DD73FF" w:rsidRPr="00A858D5" w:rsidRDefault="00DD73FF" w:rsidP="001745CB">
            <w:pPr>
              <w:jc w:val="center"/>
              <w:rPr>
                <w:rFonts w:ascii="Calibri" w:hAnsi="Calibri"/>
                <w:color w:val="000000"/>
                <w:sz w:val="21"/>
                <w:szCs w:val="21"/>
                <w:lang w:val="en-GB"/>
              </w:rPr>
            </w:pPr>
          </w:p>
        </w:tc>
        <w:tc>
          <w:tcPr>
            <w:tcW w:w="755" w:type="pct"/>
            <w:tcBorders>
              <w:top w:val="nil"/>
              <w:left w:val="nil"/>
              <w:bottom w:val="single" w:sz="4" w:space="0" w:color="auto"/>
              <w:right w:val="nil"/>
            </w:tcBorders>
            <w:shd w:val="clear" w:color="auto" w:fill="auto"/>
            <w:noWrap/>
            <w:vAlign w:val="center"/>
            <w:hideMark/>
          </w:tcPr>
          <w:p w14:paraId="41504839" w14:textId="77777777" w:rsidR="00DD73FF" w:rsidRPr="00A858D5" w:rsidRDefault="00DD73FF" w:rsidP="001745CB">
            <w:pPr>
              <w:jc w:val="center"/>
              <w:rPr>
                <w:rFonts w:ascii="Calibri" w:hAnsi="Calibri"/>
                <w:color w:val="000000"/>
                <w:sz w:val="21"/>
                <w:szCs w:val="21"/>
                <w:lang w:val="en-GB"/>
              </w:rPr>
            </w:pPr>
          </w:p>
        </w:tc>
      </w:tr>
      <w:tr w:rsidR="00DD73FF" w:rsidRPr="00A858D5" w14:paraId="51B0D1D4"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6151E6AA"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1E0AE246"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308" w:type="pct"/>
            <w:gridSpan w:val="2"/>
            <w:tcBorders>
              <w:top w:val="single" w:sz="4" w:space="0" w:color="auto"/>
              <w:left w:val="nil"/>
              <w:bottom w:val="single" w:sz="4" w:space="0" w:color="auto"/>
              <w:right w:val="nil"/>
            </w:tcBorders>
            <w:shd w:val="clear" w:color="auto" w:fill="auto"/>
            <w:noWrap/>
            <w:vAlign w:val="center"/>
            <w:hideMark/>
          </w:tcPr>
          <w:p w14:paraId="22975B18" w14:textId="77777777" w:rsidR="00DD73FF" w:rsidRPr="00A858D5" w:rsidRDefault="00DD73FF" w:rsidP="001745CB">
            <w:pPr>
              <w:rPr>
                <w:rFonts w:ascii="Calibri" w:hAnsi="Calibri"/>
                <w:b/>
                <w:bCs/>
                <w:color w:val="000000"/>
                <w:sz w:val="21"/>
                <w:szCs w:val="21"/>
                <w:lang w:val="en-GB"/>
              </w:rPr>
            </w:pPr>
            <w:r w:rsidRPr="00A858D5">
              <w:rPr>
                <w:rFonts w:ascii="Calibri" w:hAnsi="Calibri"/>
                <w:b/>
                <w:bCs/>
                <w:color w:val="000000"/>
                <w:sz w:val="21"/>
                <w:szCs w:val="21"/>
                <w:lang w:val="en-GB"/>
              </w:rPr>
              <w:t>Educational attainment</w:t>
            </w:r>
          </w:p>
        </w:tc>
        <w:tc>
          <w:tcPr>
            <w:tcW w:w="363" w:type="pct"/>
            <w:tcBorders>
              <w:top w:val="nil"/>
              <w:left w:val="nil"/>
              <w:bottom w:val="single" w:sz="4" w:space="0" w:color="auto"/>
              <w:right w:val="nil"/>
            </w:tcBorders>
            <w:shd w:val="clear" w:color="auto" w:fill="auto"/>
            <w:noWrap/>
            <w:vAlign w:val="center"/>
            <w:hideMark/>
          </w:tcPr>
          <w:p w14:paraId="238E5C05"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276CFD6A"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1B429DEE" w14:textId="77777777" w:rsidR="00DD73FF" w:rsidRPr="00A858D5" w:rsidRDefault="00DD73FF" w:rsidP="001745CB">
            <w:pPr>
              <w:jc w:val="center"/>
              <w:rPr>
                <w:rFonts w:ascii="Calibri" w:hAnsi="Calibri"/>
                <w:color w:val="000000"/>
                <w:sz w:val="21"/>
                <w:szCs w:val="21"/>
                <w:lang w:val="en-GB"/>
              </w:rPr>
            </w:pPr>
          </w:p>
        </w:tc>
        <w:tc>
          <w:tcPr>
            <w:tcW w:w="804" w:type="pct"/>
            <w:tcBorders>
              <w:top w:val="nil"/>
              <w:left w:val="nil"/>
              <w:bottom w:val="single" w:sz="4" w:space="0" w:color="auto"/>
              <w:right w:val="nil"/>
            </w:tcBorders>
            <w:shd w:val="clear" w:color="auto" w:fill="auto"/>
            <w:noWrap/>
            <w:vAlign w:val="center"/>
            <w:hideMark/>
          </w:tcPr>
          <w:p w14:paraId="65B185CE" w14:textId="77777777" w:rsidR="00DD73FF" w:rsidRPr="00A858D5" w:rsidRDefault="00DD73FF" w:rsidP="001745CB">
            <w:pPr>
              <w:jc w:val="center"/>
              <w:rPr>
                <w:rFonts w:ascii="Calibri" w:hAnsi="Calibri"/>
                <w:color w:val="000000"/>
                <w:sz w:val="21"/>
                <w:szCs w:val="21"/>
                <w:lang w:val="en-GB"/>
              </w:rPr>
            </w:pPr>
          </w:p>
        </w:tc>
        <w:tc>
          <w:tcPr>
            <w:tcW w:w="363" w:type="pct"/>
            <w:tcBorders>
              <w:top w:val="nil"/>
              <w:left w:val="nil"/>
              <w:bottom w:val="single" w:sz="4" w:space="0" w:color="auto"/>
              <w:right w:val="nil"/>
            </w:tcBorders>
            <w:shd w:val="clear" w:color="auto" w:fill="auto"/>
            <w:noWrap/>
            <w:vAlign w:val="center"/>
            <w:hideMark/>
          </w:tcPr>
          <w:p w14:paraId="66672193" w14:textId="77777777" w:rsidR="00DD73FF" w:rsidRPr="00A858D5" w:rsidRDefault="00DD73FF" w:rsidP="001745CB">
            <w:pPr>
              <w:jc w:val="center"/>
              <w:rPr>
                <w:rFonts w:ascii="Calibri" w:hAnsi="Calibri"/>
                <w:color w:val="000000"/>
                <w:sz w:val="21"/>
                <w:szCs w:val="21"/>
                <w:lang w:val="en-GB"/>
              </w:rPr>
            </w:pPr>
          </w:p>
        </w:tc>
        <w:tc>
          <w:tcPr>
            <w:tcW w:w="755" w:type="pct"/>
            <w:tcBorders>
              <w:top w:val="nil"/>
              <w:left w:val="nil"/>
              <w:bottom w:val="single" w:sz="4" w:space="0" w:color="auto"/>
              <w:right w:val="nil"/>
            </w:tcBorders>
            <w:shd w:val="clear" w:color="auto" w:fill="auto"/>
            <w:noWrap/>
            <w:vAlign w:val="center"/>
            <w:hideMark/>
          </w:tcPr>
          <w:p w14:paraId="1D7FFA44" w14:textId="77777777" w:rsidR="00DD73FF" w:rsidRPr="00A858D5" w:rsidRDefault="00DD73FF" w:rsidP="001745CB">
            <w:pPr>
              <w:jc w:val="center"/>
              <w:rPr>
                <w:rFonts w:ascii="Calibri" w:hAnsi="Calibri"/>
                <w:color w:val="000000"/>
                <w:sz w:val="21"/>
                <w:szCs w:val="21"/>
                <w:lang w:val="en-GB"/>
              </w:rPr>
            </w:pPr>
          </w:p>
        </w:tc>
      </w:tr>
      <w:tr w:rsidR="00DD73FF" w:rsidRPr="00A858D5" w14:paraId="3ECE7846" w14:textId="77777777" w:rsidTr="001745CB">
        <w:trPr>
          <w:trHeight w:val="320"/>
        </w:trPr>
        <w:tc>
          <w:tcPr>
            <w:tcW w:w="120" w:type="pct"/>
            <w:tcBorders>
              <w:top w:val="nil"/>
              <w:left w:val="nil"/>
              <w:bottom w:val="nil"/>
              <w:right w:val="nil"/>
            </w:tcBorders>
            <w:shd w:val="clear" w:color="auto" w:fill="auto"/>
            <w:noWrap/>
            <w:vAlign w:val="bottom"/>
            <w:hideMark/>
          </w:tcPr>
          <w:p w14:paraId="076E84AA" w14:textId="77777777" w:rsidR="00DD73FF" w:rsidRPr="00A858D5" w:rsidRDefault="00DD73FF" w:rsidP="001745CB">
            <w:pPr>
              <w:jc w:val="center"/>
              <w:rPr>
                <w:rFonts w:ascii="Calibri" w:hAnsi="Calibri"/>
                <w:color w:val="000000"/>
                <w:sz w:val="21"/>
                <w:szCs w:val="21"/>
                <w:lang w:val="en-GB"/>
              </w:rPr>
            </w:pPr>
          </w:p>
        </w:tc>
        <w:tc>
          <w:tcPr>
            <w:tcW w:w="120" w:type="pct"/>
            <w:tcBorders>
              <w:top w:val="nil"/>
              <w:left w:val="nil"/>
              <w:bottom w:val="nil"/>
              <w:right w:val="nil"/>
            </w:tcBorders>
            <w:shd w:val="clear" w:color="auto" w:fill="auto"/>
            <w:noWrap/>
            <w:vAlign w:val="center"/>
            <w:hideMark/>
          </w:tcPr>
          <w:p w14:paraId="35E42EA6" w14:textId="77777777" w:rsidR="00DD73FF" w:rsidRPr="00A858D5" w:rsidRDefault="00DD73FF" w:rsidP="001745CB">
            <w:pPr>
              <w:rPr>
                <w:rFonts w:ascii="Times New Roman" w:hAnsi="Times New Roman"/>
                <w:sz w:val="21"/>
                <w:szCs w:val="21"/>
                <w:lang w:val="en-GB"/>
              </w:rPr>
            </w:pPr>
          </w:p>
        </w:tc>
        <w:tc>
          <w:tcPr>
            <w:tcW w:w="120" w:type="pct"/>
            <w:tcBorders>
              <w:top w:val="nil"/>
              <w:left w:val="nil"/>
              <w:bottom w:val="nil"/>
              <w:right w:val="nil"/>
            </w:tcBorders>
            <w:shd w:val="clear" w:color="auto" w:fill="auto"/>
            <w:noWrap/>
            <w:vAlign w:val="center"/>
            <w:hideMark/>
          </w:tcPr>
          <w:p w14:paraId="0DDE5553" w14:textId="77777777" w:rsidR="00DD73FF" w:rsidRPr="00A858D5" w:rsidRDefault="00DD73FF" w:rsidP="001745CB">
            <w:pPr>
              <w:rPr>
                <w:rFonts w:ascii="Times New Roman" w:hAnsi="Times New Roman"/>
                <w:sz w:val="21"/>
                <w:szCs w:val="21"/>
                <w:lang w:val="en-GB"/>
              </w:rPr>
            </w:pPr>
          </w:p>
        </w:tc>
        <w:tc>
          <w:tcPr>
            <w:tcW w:w="1188" w:type="pct"/>
            <w:tcBorders>
              <w:top w:val="nil"/>
              <w:left w:val="nil"/>
              <w:bottom w:val="nil"/>
              <w:right w:val="nil"/>
            </w:tcBorders>
            <w:shd w:val="clear" w:color="auto" w:fill="auto"/>
            <w:noWrap/>
            <w:vAlign w:val="center"/>
            <w:hideMark/>
          </w:tcPr>
          <w:p w14:paraId="257BFB6A"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Tertiary Education</w:t>
            </w:r>
          </w:p>
        </w:tc>
        <w:tc>
          <w:tcPr>
            <w:tcW w:w="363" w:type="pct"/>
            <w:tcBorders>
              <w:top w:val="nil"/>
              <w:left w:val="nil"/>
              <w:bottom w:val="nil"/>
              <w:right w:val="nil"/>
            </w:tcBorders>
            <w:shd w:val="clear" w:color="auto" w:fill="auto"/>
            <w:noWrap/>
            <w:vAlign w:val="center"/>
            <w:hideMark/>
          </w:tcPr>
          <w:p w14:paraId="2068D612"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57,496</w:t>
            </w:r>
          </w:p>
        </w:tc>
        <w:tc>
          <w:tcPr>
            <w:tcW w:w="804" w:type="pct"/>
            <w:tcBorders>
              <w:top w:val="nil"/>
              <w:left w:val="nil"/>
              <w:bottom w:val="nil"/>
              <w:right w:val="nil"/>
            </w:tcBorders>
            <w:shd w:val="clear" w:color="auto" w:fill="auto"/>
            <w:noWrap/>
            <w:vAlign w:val="center"/>
            <w:hideMark/>
          </w:tcPr>
          <w:p w14:paraId="70E92BB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(0.90, </w:t>
            </w:r>
            <w:proofErr w:type="gramStart"/>
            <w:r w:rsidRPr="00A858D5">
              <w:rPr>
                <w:rFonts w:ascii="Calibri" w:hAnsi="Calibri"/>
                <w:color w:val="000000"/>
                <w:sz w:val="21"/>
                <w:szCs w:val="21"/>
                <w:lang w:val="en-GB"/>
              </w:rPr>
              <w:t>1.00)*</w:t>
            </w:r>
            <w:proofErr w:type="gramEnd"/>
          </w:p>
        </w:tc>
        <w:tc>
          <w:tcPr>
            <w:tcW w:w="363" w:type="pct"/>
            <w:tcBorders>
              <w:top w:val="nil"/>
              <w:left w:val="nil"/>
              <w:bottom w:val="nil"/>
              <w:right w:val="nil"/>
            </w:tcBorders>
            <w:shd w:val="clear" w:color="auto" w:fill="auto"/>
            <w:noWrap/>
            <w:vAlign w:val="center"/>
            <w:hideMark/>
          </w:tcPr>
          <w:p w14:paraId="3C3F91CE"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20,018</w:t>
            </w:r>
          </w:p>
        </w:tc>
        <w:tc>
          <w:tcPr>
            <w:tcW w:w="804" w:type="pct"/>
            <w:tcBorders>
              <w:top w:val="nil"/>
              <w:left w:val="nil"/>
              <w:bottom w:val="nil"/>
              <w:right w:val="nil"/>
            </w:tcBorders>
            <w:shd w:val="clear" w:color="auto" w:fill="auto"/>
            <w:noWrap/>
            <w:vAlign w:val="center"/>
            <w:hideMark/>
          </w:tcPr>
          <w:p w14:paraId="6DC962D3"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0.87 (0.74, 1.02)</w:t>
            </w:r>
          </w:p>
        </w:tc>
        <w:tc>
          <w:tcPr>
            <w:tcW w:w="363" w:type="pct"/>
            <w:tcBorders>
              <w:top w:val="nil"/>
              <w:left w:val="nil"/>
              <w:bottom w:val="nil"/>
              <w:right w:val="nil"/>
            </w:tcBorders>
            <w:shd w:val="clear" w:color="auto" w:fill="auto"/>
            <w:noWrap/>
            <w:vAlign w:val="center"/>
            <w:hideMark/>
          </w:tcPr>
          <w:p w14:paraId="61E1346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15,965</w:t>
            </w:r>
          </w:p>
        </w:tc>
        <w:tc>
          <w:tcPr>
            <w:tcW w:w="755" w:type="pct"/>
            <w:tcBorders>
              <w:top w:val="nil"/>
              <w:left w:val="nil"/>
              <w:bottom w:val="nil"/>
              <w:right w:val="nil"/>
            </w:tcBorders>
            <w:shd w:val="clear" w:color="auto" w:fill="auto"/>
            <w:noWrap/>
            <w:vAlign w:val="center"/>
            <w:hideMark/>
          </w:tcPr>
          <w:p w14:paraId="17A562DD"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0.99 (0.83, 1.17)</w:t>
            </w:r>
          </w:p>
        </w:tc>
      </w:tr>
      <w:tr w:rsidR="00DD73FF" w:rsidRPr="00A858D5" w14:paraId="28DCFBD4" w14:textId="77777777" w:rsidTr="001745CB">
        <w:trPr>
          <w:trHeight w:val="320"/>
        </w:trPr>
        <w:tc>
          <w:tcPr>
            <w:tcW w:w="120" w:type="pct"/>
            <w:tcBorders>
              <w:top w:val="nil"/>
              <w:left w:val="nil"/>
              <w:bottom w:val="nil"/>
              <w:right w:val="nil"/>
            </w:tcBorders>
            <w:shd w:val="clear" w:color="auto" w:fill="auto"/>
            <w:noWrap/>
            <w:vAlign w:val="bottom"/>
            <w:hideMark/>
          </w:tcPr>
          <w:p w14:paraId="11E8F3EB" w14:textId="77777777" w:rsidR="00DD73FF" w:rsidRPr="00A858D5" w:rsidRDefault="00DD73FF" w:rsidP="001745CB">
            <w:pPr>
              <w:jc w:val="center"/>
              <w:rPr>
                <w:rFonts w:ascii="Calibri" w:hAnsi="Calibri"/>
                <w:color w:val="000000"/>
                <w:sz w:val="21"/>
                <w:szCs w:val="21"/>
                <w:lang w:val="en-GB"/>
              </w:rPr>
            </w:pPr>
          </w:p>
        </w:tc>
        <w:tc>
          <w:tcPr>
            <w:tcW w:w="120" w:type="pct"/>
            <w:tcBorders>
              <w:top w:val="nil"/>
              <w:left w:val="nil"/>
              <w:bottom w:val="nil"/>
              <w:right w:val="nil"/>
            </w:tcBorders>
            <w:shd w:val="clear" w:color="auto" w:fill="auto"/>
            <w:noWrap/>
            <w:vAlign w:val="center"/>
            <w:hideMark/>
          </w:tcPr>
          <w:p w14:paraId="30E233B9" w14:textId="77777777" w:rsidR="00DD73FF" w:rsidRPr="00A858D5" w:rsidRDefault="00DD73FF" w:rsidP="001745CB">
            <w:pPr>
              <w:rPr>
                <w:rFonts w:ascii="Times New Roman" w:hAnsi="Times New Roman"/>
                <w:sz w:val="21"/>
                <w:szCs w:val="21"/>
                <w:lang w:val="en-GB"/>
              </w:rPr>
            </w:pPr>
          </w:p>
        </w:tc>
        <w:tc>
          <w:tcPr>
            <w:tcW w:w="120" w:type="pct"/>
            <w:tcBorders>
              <w:top w:val="nil"/>
              <w:left w:val="nil"/>
              <w:bottom w:val="nil"/>
              <w:right w:val="nil"/>
            </w:tcBorders>
            <w:shd w:val="clear" w:color="auto" w:fill="auto"/>
            <w:noWrap/>
            <w:vAlign w:val="center"/>
            <w:hideMark/>
          </w:tcPr>
          <w:p w14:paraId="70E70045" w14:textId="77777777" w:rsidR="00DD73FF" w:rsidRPr="00A858D5" w:rsidRDefault="00DD73FF" w:rsidP="001745CB">
            <w:pPr>
              <w:rPr>
                <w:rFonts w:ascii="Times New Roman" w:hAnsi="Times New Roman"/>
                <w:sz w:val="21"/>
                <w:szCs w:val="21"/>
                <w:lang w:val="en-GB"/>
              </w:rPr>
            </w:pPr>
          </w:p>
        </w:tc>
        <w:tc>
          <w:tcPr>
            <w:tcW w:w="1188" w:type="pct"/>
            <w:tcBorders>
              <w:top w:val="nil"/>
              <w:left w:val="nil"/>
              <w:bottom w:val="nil"/>
              <w:right w:val="nil"/>
            </w:tcBorders>
            <w:shd w:val="clear" w:color="auto" w:fill="auto"/>
            <w:noWrap/>
            <w:vAlign w:val="center"/>
            <w:hideMark/>
          </w:tcPr>
          <w:p w14:paraId="69023C84"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Higher Secondary Education</w:t>
            </w:r>
          </w:p>
        </w:tc>
        <w:tc>
          <w:tcPr>
            <w:tcW w:w="363" w:type="pct"/>
            <w:tcBorders>
              <w:top w:val="nil"/>
              <w:left w:val="nil"/>
              <w:bottom w:val="nil"/>
              <w:right w:val="nil"/>
            </w:tcBorders>
            <w:shd w:val="clear" w:color="auto" w:fill="auto"/>
            <w:noWrap/>
            <w:vAlign w:val="center"/>
            <w:hideMark/>
          </w:tcPr>
          <w:p w14:paraId="15D8920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37,935</w:t>
            </w:r>
          </w:p>
        </w:tc>
        <w:tc>
          <w:tcPr>
            <w:tcW w:w="804" w:type="pct"/>
            <w:tcBorders>
              <w:top w:val="nil"/>
              <w:left w:val="nil"/>
              <w:bottom w:val="nil"/>
              <w:right w:val="nil"/>
            </w:tcBorders>
            <w:shd w:val="clear" w:color="auto" w:fill="auto"/>
            <w:noWrap/>
            <w:vAlign w:val="center"/>
            <w:hideMark/>
          </w:tcPr>
          <w:p w14:paraId="306817D3"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0.97 (0.93, 1.03)</w:t>
            </w:r>
          </w:p>
        </w:tc>
        <w:tc>
          <w:tcPr>
            <w:tcW w:w="363" w:type="pct"/>
            <w:tcBorders>
              <w:top w:val="nil"/>
              <w:left w:val="nil"/>
              <w:bottom w:val="nil"/>
              <w:right w:val="nil"/>
            </w:tcBorders>
            <w:shd w:val="clear" w:color="auto" w:fill="auto"/>
            <w:noWrap/>
            <w:vAlign w:val="center"/>
            <w:hideMark/>
          </w:tcPr>
          <w:p w14:paraId="2466D358"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11,680</w:t>
            </w:r>
          </w:p>
        </w:tc>
        <w:tc>
          <w:tcPr>
            <w:tcW w:w="804" w:type="pct"/>
            <w:tcBorders>
              <w:top w:val="nil"/>
              <w:left w:val="nil"/>
              <w:bottom w:val="nil"/>
              <w:right w:val="nil"/>
            </w:tcBorders>
            <w:shd w:val="clear" w:color="auto" w:fill="auto"/>
            <w:noWrap/>
            <w:vAlign w:val="center"/>
            <w:hideMark/>
          </w:tcPr>
          <w:p w14:paraId="17C69AB5"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1.07 (0.91, 1.25)</w:t>
            </w:r>
          </w:p>
        </w:tc>
        <w:tc>
          <w:tcPr>
            <w:tcW w:w="363" w:type="pct"/>
            <w:tcBorders>
              <w:top w:val="nil"/>
              <w:left w:val="nil"/>
              <w:bottom w:val="nil"/>
              <w:right w:val="nil"/>
            </w:tcBorders>
            <w:shd w:val="clear" w:color="auto" w:fill="auto"/>
            <w:noWrap/>
            <w:vAlign w:val="center"/>
            <w:hideMark/>
          </w:tcPr>
          <w:p w14:paraId="3929CD06"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19,726</w:t>
            </w:r>
          </w:p>
        </w:tc>
        <w:tc>
          <w:tcPr>
            <w:tcW w:w="755" w:type="pct"/>
            <w:tcBorders>
              <w:top w:val="nil"/>
              <w:left w:val="nil"/>
              <w:bottom w:val="nil"/>
              <w:right w:val="nil"/>
            </w:tcBorders>
            <w:shd w:val="clear" w:color="auto" w:fill="auto"/>
            <w:noWrap/>
            <w:vAlign w:val="center"/>
            <w:hideMark/>
          </w:tcPr>
          <w:p w14:paraId="13AB2CA9"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1.08 (0.90, 1.30)</w:t>
            </w:r>
          </w:p>
        </w:tc>
      </w:tr>
      <w:tr w:rsidR="00DD73FF" w:rsidRPr="00A858D5" w14:paraId="215529E9" w14:textId="77777777" w:rsidTr="001745CB">
        <w:trPr>
          <w:trHeight w:val="320"/>
        </w:trPr>
        <w:tc>
          <w:tcPr>
            <w:tcW w:w="120" w:type="pct"/>
            <w:tcBorders>
              <w:top w:val="nil"/>
              <w:left w:val="nil"/>
              <w:bottom w:val="single" w:sz="4" w:space="0" w:color="auto"/>
              <w:right w:val="nil"/>
            </w:tcBorders>
            <w:shd w:val="clear" w:color="auto" w:fill="auto"/>
            <w:noWrap/>
            <w:vAlign w:val="bottom"/>
            <w:hideMark/>
          </w:tcPr>
          <w:p w14:paraId="40B5C2D7"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18008F3E"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20" w:type="pct"/>
            <w:tcBorders>
              <w:top w:val="nil"/>
              <w:left w:val="nil"/>
              <w:bottom w:val="single" w:sz="4" w:space="0" w:color="auto"/>
              <w:right w:val="nil"/>
            </w:tcBorders>
            <w:shd w:val="clear" w:color="auto" w:fill="auto"/>
            <w:noWrap/>
            <w:vAlign w:val="center"/>
            <w:hideMark/>
          </w:tcPr>
          <w:p w14:paraId="68840EE5"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 </w:t>
            </w:r>
          </w:p>
        </w:tc>
        <w:tc>
          <w:tcPr>
            <w:tcW w:w="1188" w:type="pct"/>
            <w:tcBorders>
              <w:top w:val="nil"/>
              <w:left w:val="nil"/>
              <w:bottom w:val="single" w:sz="4" w:space="0" w:color="auto"/>
              <w:right w:val="nil"/>
            </w:tcBorders>
            <w:shd w:val="clear" w:color="auto" w:fill="auto"/>
            <w:noWrap/>
            <w:vAlign w:val="center"/>
            <w:hideMark/>
          </w:tcPr>
          <w:p w14:paraId="2D3C4B13"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1"/>
                <w:szCs w:val="21"/>
                <w:lang w:val="en-GB"/>
              </w:rPr>
              <w:t>Lower Education</w:t>
            </w:r>
          </w:p>
        </w:tc>
        <w:tc>
          <w:tcPr>
            <w:tcW w:w="363" w:type="pct"/>
            <w:tcBorders>
              <w:top w:val="nil"/>
              <w:left w:val="nil"/>
              <w:bottom w:val="single" w:sz="4" w:space="0" w:color="auto"/>
              <w:right w:val="nil"/>
            </w:tcBorders>
            <w:shd w:val="clear" w:color="auto" w:fill="auto"/>
            <w:noWrap/>
            <w:vAlign w:val="center"/>
            <w:hideMark/>
          </w:tcPr>
          <w:p w14:paraId="7D18D03F"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54,401</w:t>
            </w:r>
          </w:p>
        </w:tc>
        <w:tc>
          <w:tcPr>
            <w:tcW w:w="804" w:type="pct"/>
            <w:tcBorders>
              <w:top w:val="nil"/>
              <w:left w:val="nil"/>
              <w:bottom w:val="single" w:sz="4" w:space="0" w:color="auto"/>
              <w:right w:val="nil"/>
            </w:tcBorders>
            <w:shd w:val="clear" w:color="auto" w:fill="auto"/>
            <w:noWrap/>
            <w:vAlign w:val="center"/>
            <w:hideMark/>
          </w:tcPr>
          <w:p w14:paraId="3BF9F181"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 xml:space="preserve">0.95 (0.92, </w:t>
            </w:r>
            <w:proofErr w:type="gramStart"/>
            <w:r w:rsidRPr="00A858D5">
              <w:rPr>
                <w:rFonts w:ascii="Calibri" w:hAnsi="Calibri"/>
                <w:color w:val="000000"/>
                <w:sz w:val="21"/>
                <w:szCs w:val="21"/>
                <w:lang w:val="en-GB"/>
              </w:rPr>
              <w:t>0.98)*</w:t>
            </w:r>
            <w:proofErr w:type="gramEnd"/>
          </w:p>
        </w:tc>
        <w:tc>
          <w:tcPr>
            <w:tcW w:w="363" w:type="pct"/>
            <w:tcBorders>
              <w:top w:val="nil"/>
              <w:left w:val="nil"/>
              <w:bottom w:val="single" w:sz="4" w:space="0" w:color="auto"/>
              <w:right w:val="nil"/>
            </w:tcBorders>
            <w:shd w:val="clear" w:color="auto" w:fill="auto"/>
            <w:noWrap/>
            <w:vAlign w:val="center"/>
            <w:hideMark/>
          </w:tcPr>
          <w:p w14:paraId="7EB2BC00"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20,084</w:t>
            </w:r>
          </w:p>
        </w:tc>
        <w:tc>
          <w:tcPr>
            <w:tcW w:w="804" w:type="pct"/>
            <w:tcBorders>
              <w:top w:val="nil"/>
              <w:left w:val="nil"/>
              <w:bottom w:val="single" w:sz="4" w:space="0" w:color="auto"/>
              <w:right w:val="nil"/>
            </w:tcBorders>
            <w:shd w:val="clear" w:color="auto" w:fill="auto"/>
            <w:noWrap/>
            <w:vAlign w:val="center"/>
            <w:hideMark/>
          </w:tcPr>
          <w:p w14:paraId="29E3398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0.99 (0.91, 1.08)</w:t>
            </w:r>
          </w:p>
        </w:tc>
        <w:tc>
          <w:tcPr>
            <w:tcW w:w="363" w:type="pct"/>
            <w:tcBorders>
              <w:top w:val="nil"/>
              <w:left w:val="nil"/>
              <w:bottom w:val="single" w:sz="4" w:space="0" w:color="auto"/>
              <w:right w:val="nil"/>
            </w:tcBorders>
            <w:shd w:val="clear" w:color="auto" w:fill="auto"/>
            <w:noWrap/>
            <w:vAlign w:val="center"/>
            <w:hideMark/>
          </w:tcPr>
          <w:p w14:paraId="0D2378EB"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35,040</w:t>
            </w:r>
          </w:p>
        </w:tc>
        <w:tc>
          <w:tcPr>
            <w:tcW w:w="755" w:type="pct"/>
            <w:tcBorders>
              <w:top w:val="nil"/>
              <w:left w:val="nil"/>
              <w:bottom w:val="single" w:sz="4" w:space="0" w:color="auto"/>
              <w:right w:val="nil"/>
            </w:tcBorders>
            <w:shd w:val="clear" w:color="auto" w:fill="auto"/>
            <w:noWrap/>
            <w:vAlign w:val="center"/>
            <w:hideMark/>
          </w:tcPr>
          <w:p w14:paraId="24E286AC" w14:textId="77777777" w:rsidR="00DD73FF" w:rsidRPr="00A858D5" w:rsidRDefault="00DD73FF" w:rsidP="001745CB">
            <w:pPr>
              <w:jc w:val="center"/>
              <w:rPr>
                <w:rFonts w:ascii="Calibri" w:hAnsi="Calibri"/>
                <w:color w:val="000000"/>
                <w:sz w:val="21"/>
                <w:szCs w:val="21"/>
                <w:lang w:val="en-GB"/>
              </w:rPr>
            </w:pPr>
            <w:r w:rsidRPr="00A858D5">
              <w:rPr>
                <w:rFonts w:ascii="Calibri" w:hAnsi="Calibri"/>
                <w:color w:val="000000"/>
                <w:sz w:val="21"/>
                <w:szCs w:val="21"/>
                <w:lang w:val="en-GB"/>
              </w:rPr>
              <w:t>0.96 (0.87, 1.05)</w:t>
            </w:r>
          </w:p>
        </w:tc>
      </w:tr>
      <w:tr w:rsidR="00DD73FF" w:rsidRPr="00A858D5" w14:paraId="31E24C2E" w14:textId="77777777" w:rsidTr="001745CB">
        <w:trPr>
          <w:trHeight w:val="320"/>
        </w:trPr>
        <w:tc>
          <w:tcPr>
            <w:tcW w:w="5000" w:type="pct"/>
            <w:gridSpan w:val="10"/>
            <w:tcBorders>
              <w:top w:val="single" w:sz="4" w:space="0" w:color="auto"/>
              <w:left w:val="nil"/>
              <w:bottom w:val="single" w:sz="4" w:space="0" w:color="auto"/>
              <w:right w:val="nil"/>
            </w:tcBorders>
            <w:shd w:val="clear" w:color="auto" w:fill="auto"/>
            <w:noWrap/>
            <w:vAlign w:val="center"/>
          </w:tcPr>
          <w:p w14:paraId="5B3596AD" w14:textId="77777777" w:rsidR="00DD73FF" w:rsidRPr="00A858D5" w:rsidRDefault="00DD73FF" w:rsidP="001745CB">
            <w:pPr>
              <w:rPr>
                <w:rFonts w:ascii="Calibri" w:hAnsi="Calibri"/>
                <w:color w:val="000000"/>
                <w:sz w:val="21"/>
                <w:szCs w:val="21"/>
                <w:lang w:val="en-GB"/>
              </w:rPr>
            </w:pPr>
            <w:r w:rsidRPr="00A858D5">
              <w:rPr>
                <w:rFonts w:ascii="Calibri" w:hAnsi="Calibri"/>
                <w:color w:val="000000"/>
                <w:sz w:val="20"/>
                <w:szCs w:val="20"/>
                <w:lang w:val="en-GB"/>
              </w:rPr>
              <w:t>Note: HR, Hazard Ratio; 95%CI, 95% Confidence Intervals. * p-value &lt; 0.05. Cox proportional hazards models using age as the underlying time scale, follow-up period 01 October 2001 - 31 December 2014. Models adjusted by age, housing tenure, household living arrangement, PM</w:t>
            </w:r>
            <w:r w:rsidRPr="00A858D5">
              <w:rPr>
                <w:rFonts w:ascii="Calibri" w:hAnsi="Calibri"/>
                <w:color w:val="000000"/>
                <w:sz w:val="20"/>
                <w:szCs w:val="20"/>
                <w:vertAlign w:val="subscript"/>
                <w:lang w:val="en-GB"/>
              </w:rPr>
              <w:t>2.5</w:t>
            </w:r>
            <w:r w:rsidRPr="00A858D5">
              <w:rPr>
                <w:rFonts w:ascii="Calibri" w:hAnsi="Calibri"/>
                <w:color w:val="000000"/>
                <w:sz w:val="20"/>
                <w:szCs w:val="20"/>
                <w:lang w:val="en-GB"/>
              </w:rPr>
              <w:t xml:space="preserve">, </w:t>
            </w:r>
            <w:proofErr w:type="spellStart"/>
            <w:r w:rsidRPr="00A858D5">
              <w:rPr>
                <w:rFonts w:ascii="Calibri" w:hAnsi="Calibri"/>
                <w:color w:val="000000"/>
                <w:sz w:val="20"/>
                <w:szCs w:val="20"/>
                <w:lang w:val="en-GB"/>
              </w:rPr>
              <w:t>L</w:t>
            </w:r>
            <w:r w:rsidRPr="00A858D5">
              <w:rPr>
                <w:rFonts w:ascii="Calibri" w:hAnsi="Calibri"/>
                <w:color w:val="000000"/>
                <w:sz w:val="20"/>
                <w:szCs w:val="20"/>
                <w:vertAlign w:val="subscript"/>
                <w:lang w:val="en-GB"/>
              </w:rPr>
              <w:t>den</w:t>
            </w:r>
            <w:proofErr w:type="spellEnd"/>
            <w:r w:rsidRPr="00A858D5">
              <w:rPr>
                <w:rFonts w:ascii="Calibri" w:hAnsi="Calibri"/>
                <w:color w:val="000000"/>
                <w:sz w:val="20"/>
                <w:szCs w:val="20"/>
                <w:lang w:val="en-GB"/>
              </w:rPr>
              <w:t xml:space="preserve"> and area-level SEP.</w:t>
            </w:r>
          </w:p>
        </w:tc>
      </w:tr>
    </w:tbl>
    <w:p w14:paraId="6DCFA8C0" w14:textId="6601D7AA" w:rsidR="00DD73FF" w:rsidRPr="00A858D5" w:rsidRDefault="00DD73FF" w:rsidP="00CB1162">
      <w:pPr>
        <w:rPr>
          <w:bCs/>
          <w:iCs/>
          <w:lang w:val="en-GB"/>
        </w:rPr>
      </w:pPr>
    </w:p>
    <w:p w14:paraId="07ADD14E" w14:textId="77777777" w:rsidR="00A1447A" w:rsidRPr="00A858D5" w:rsidRDefault="00A1447A" w:rsidP="00A1447A">
      <w:pPr>
        <w:rPr>
          <w:bCs/>
          <w:szCs w:val="22"/>
          <w:lang w:val="en-GB"/>
        </w:rPr>
      </w:pPr>
      <w:r w:rsidRPr="00A858D5">
        <w:rPr>
          <w:b/>
          <w:szCs w:val="22"/>
          <w:lang w:val="en-GB"/>
        </w:rPr>
        <w:t xml:space="preserve">Table 4. </w:t>
      </w:r>
      <w:r w:rsidRPr="00A858D5">
        <w:rPr>
          <w:bCs/>
          <w:i/>
          <w:iCs/>
          <w:szCs w:val="22"/>
          <w:lang w:val="en-GB"/>
        </w:rPr>
        <w:t>(Continued).</w:t>
      </w:r>
    </w:p>
    <w:p w14:paraId="6FBB836D" w14:textId="77777777" w:rsidR="00A1447A" w:rsidRPr="00A858D5" w:rsidRDefault="00A1447A" w:rsidP="00CB1162">
      <w:pPr>
        <w:rPr>
          <w:bCs/>
          <w:iCs/>
          <w:lang w:val="en-GB"/>
        </w:rPr>
      </w:pPr>
    </w:p>
    <w:p w14:paraId="03A0F011" w14:textId="77777777" w:rsidR="00DD73FF" w:rsidRPr="00A858D5" w:rsidRDefault="00DD73FF" w:rsidP="00CB1162">
      <w:pPr>
        <w:rPr>
          <w:bCs/>
          <w:iCs/>
          <w:lang w:val="en-GB"/>
        </w:rPr>
      </w:pPr>
    </w:p>
    <w:p w14:paraId="34D3EC90" w14:textId="77777777" w:rsidR="00DD73FF" w:rsidRPr="00A858D5" w:rsidRDefault="00DD73FF" w:rsidP="00CB1162">
      <w:pPr>
        <w:rPr>
          <w:lang w:val="en-GB"/>
        </w:rPr>
        <w:sectPr w:rsidR="00DD73FF" w:rsidRPr="00A858D5" w:rsidSect="00DD73FF">
          <w:pgSz w:w="16840" w:h="11900" w:orient="landscape"/>
          <w:pgMar w:top="1440" w:right="1440" w:bottom="1440" w:left="1440" w:header="708" w:footer="708" w:gutter="0"/>
          <w:cols w:space="708"/>
          <w:docGrid w:linePitch="360"/>
        </w:sectPr>
      </w:pPr>
    </w:p>
    <w:p w14:paraId="7119AB1C" w14:textId="3A72FABC" w:rsidR="00C766B5" w:rsidRPr="00B32B02" w:rsidRDefault="00C766B5" w:rsidP="00CB1162">
      <w:pPr>
        <w:rPr>
          <w:lang w:val="en-GB"/>
        </w:rPr>
      </w:pPr>
      <w:r w:rsidRPr="00B32B02">
        <w:rPr>
          <w:lang w:val="en-GB"/>
        </w:rPr>
        <w:lastRenderedPageBreak/>
        <w:t xml:space="preserve">The results of the mediation analyses can be found in Table S6. According to these, between 12-16% of the associations between both residential UGS indicators and poor self-perceived health </w:t>
      </w:r>
      <w:r w:rsidR="00435AB5" w:rsidRPr="00B32B02">
        <w:rPr>
          <w:lang w:val="en-GB"/>
        </w:rPr>
        <w:t>are</w:t>
      </w:r>
      <w:r w:rsidRPr="00B32B02">
        <w:rPr>
          <w:lang w:val="en-GB"/>
        </w:rPr>
        <w:t xml:space="preserve"> potentially mediated by PM</w:t>
      </w:r>
      <w:r w:rsidRPr="00B32B02">
        <w:rPr>
          <w:vertAlign w:val="subscript"/>
          <w:lang w:val="en-GB"/>
        </w:rPr>
        <w:t>10</w:t>
      </w:r>
      <w:r w:rsidRPr="00B32B02">
        <w:rPr>
          <w:lang w:val="en-GB"/>
        </w:rPr>
        <w:t xml:space="preserve">. This was however not </w:t>
      </w:r>
      <w:r w:rsidR="00382CD2" w:rsidRPr="00B32B02">
        <w:rPr>
          <w:lang w:val="en-GB"/>
        </w:rPr>
        <w:t>observed with</w:t>
      </w:r>
      <w:r w:rsidRPr="00B32B02">
        <w:rPr>
          <w:lang w:val="en-GB"/>
        </w:rPr>
        <w:t xml:space="preserve"> natural cause mortality nor</w:t>
      </w:r>
      <w:r w:rsidR="00382CD2" w:rsidRPr="00B32B02">
        <w:rPr>
          <w:lang w:val="en-GB"/>
        </w:rPr>
        <w:t xml:space="preserve"> with</w:t>
      </w:r>
      <w:r w:rsidRPr="00B32B02">
        <w:rPr>
          <w:lang w:val="en-GB"/>
        </w:rPr>
        <w:t xml:space="preserve"> any other pollutant</w:t>
      </w:r>
      <w:r w:rsidR="00382CD2" w:rsidRPr="00B32B02">
        <w:rPr>
          <w:lang w:val="en-GB"/>
        </w:rPr>
        <w:t>s</w:t>
      </w:r>
      <w:r w:rsidRPr="00B32B02">
        <w:rPr>
          <w:lang w:val="en-GB"/>
        </w:rPr>
        <w:t>.</w:t>
      </w:r>
    </w:p>
    <w:p w14:paraId="326E336D" w14:textId="73C53F48" w:rsidR="00615AEC" w:rsidRPr="00A858D5" w:rsidRDefault="00961716" w:rsidP="00CB1162">
      <w:pPr>
        <w:rPr>
          <w:lang w:val="en-GB"/>
        </w:rPr>
      </w:pPr>
      <w:r w:rsidRPr="00B32B02">
        <w:rPr>
          <w:lang w:val="en-GB"/>
        </w:rPr>
        <w:t>In sensitivity analyses, we used multiple imputation, we adjusted our models for different pollutants (i.e., PM</w:t>
      </w:r>
      <w:r w:rsidRPr="00B32B02">
        <w:rPr>
          <w:vertAlign w:val="subscript"/>
          <w:lang w:val="en-GB"/>
        </w:rPr>
        <w:t>10</w:t>
      </w:r>
      <w:r w:rsidRPr="00B32B02">
        <w:rPr>
          <w:lang w:val="en-GB"/>
        </w:rPr>
        <w:t>, NO</w:t>
      </w:r>
      <w:r w:rsidRPr="00B32B02">
        <w:rPr>
          <w:vertAlign w:val="subscript"/>
          <w:lang w:val="en-GB"/>
        </w:rPr>
        <w:t xml:space="preserve">2 </w:t>
      </w:r>
      <w:r w:rsidRPr="00B32B02">
        <w:rPr>
          <w:lang w:val="en-GB"/>
        </w:rPr>
        <w:t>or BC instead of PM</w:t>
      </w:r>
      <w:r w:rsidRPr="00B32B02">
        <w:rPr>
          <w:vertAlign w:val="subscript"/>
          <w:lang w:val="en-GB"/>
        </w:rPr>
        <w:t>2.5</w:t>
      </w:r>
      <w:r w:rsidRPr="00B32B02">
        <w:rPr>
          <w:lang w:val="en-GB"/>
        </w:rPr>
        <w:t>),</w:t>
      </w:r>
      <w:r w:rsidRPr="00B32B02">
        <w:rPr>
          <w:vertAlign w:val="subscript"/>
          <w:lang w:val="en-GB"/>
        </w:rPr>
        <w:t xml:space="preserve"> </w:t>
      </w:r>
      <w:r w:rsidRPr="00B32B02">
        <w:rPr>
          <w:lang w:val="en-GB"/>
        </w:rPr>
        <w:t>excluded individuals who moved neighbourhoods between 1991 and 2001 (10 years prior to baseline), students and residents living in social housing and those without a private garden, and we repeated our analyses for larger buffers for surrounding greenness (i.e., 500-m and 1,000-m) and individuals without a garden. Overall, our results were robust to the sensitivity analyses conducted (Table S7), although some differences were observed when using different buffer sizes and excluding individuals with a private garden (Tables S8-S11).</w:t>
      </w:r>
      <w:r w:rsidRPr="00B32B02">
        <w:rPr>
          <w:iCs/>
          <w:lang w:val="en-GB"/>
        </w:rPr>
        <w:t xml:space="preserve"> </w:t>
      </w:r>
      <w:r w:rsidR="00EF2722" w:rsidRPr="00B32B02">
        <w:rPr>
          <w:iCs/>
          <w:lang w:val="en-GB"/>
        </w:rPr>
        <w:t>When</w:t>
      </w:r>
      <w:r w:rsidR="00EF2722" w:rsidRPr="00B32B02">
        <w:rPr>
          <w:lang w:val="en-GB"/>
        </w:rPr>
        <w:t xml:space="preserve"> using</w:t>
      </w:r>
      <w:r w:rsidR="00EF2722" w:rsidRPr="00A858D5">
        <w:rPr>
          <w:lang w:val="en-GB"/>
        </w:rPr>
        <w:t xml:space="preserve"> the </w:t>
      </w:r>
      <w:r w:rsidR="004F3E88">
        <w:rPr>
          <w:lang w:val="en-GB"/>
        </w:rPr>
        <w:t xml:space="preserve">500-m and </w:t>
      </w:r>
      <w:r w:rsidR="00EF2722" w:rsidRPr="00A858D5">
        <w:rPr>
          <w:lang w:val="en-GB"/>
        </w:rPr>
        <w:t>1</w:t>
      </w:r>
      <w:r w:rsidR="00D75F98" w:rsidRPr="00A858D5">
        <w:rPr>
          <w:lang w:val="en-GB"/>
        </w:rPr>
        <w:t>,</w:t>
      </w:r>
      <w:r w:rsidR="00EF2722" w:rsidRPr="00A858D5">
        <w:rPr>
          <w:lang w:val="en-GB"/>
        </w:rPr>
        <w:t>000</w:t>
      </w:r>
      <w:r w:rsidR="00D75F98" w:rsidRPr="00A858D5">
        <w:rPr>
          <w:lang w:val="en-GB"/>
        </w:rPr>
        <w:t>-</w:t>
      </w:r>
      <w:r w:rsidR="00EF2722" w:rsidRPr="00A858D5">
        <w:rPr>
          <w:lang w:val="en-GB"/>
        </w:rPr>
        <w:t xml:space="preserve">m buffer for surrounding greenness, </w:t>
      </w:r>
      <w:r w:rsidR="001F1C97" w:rsidRPr="00A858D5">
        <w:rPr>
          <w:lang w:val="en-GB"/>
        </w:rPr>
        <w:t>inverse</w:t>
      </w:r>
      <w:r w:rsidR="00F101F8" w:rsidRPr="00A858D5">
        <w:rPr>
          <w:lang w:val="en-GB"/>
        </w:rPr>
        <w:t xml:space="preserve"> </w:t>
      </w:r>
      <w:r w:rsidR="006A2FAF" w:rsidRPr="00A858D5">
        <w:rPr>
          <w:lang w:val="en-GB"/>
        </w:rPr>
        <w:t xml:space="preserve">significant </w:t>
      </w:r>
      <w:r w:rsidR="00F101F8" w:rsidRPr="00A858D5">
        <w:rPr>
          <w:lang w:val="en-GB"/>
        </w:rPr>
        <w:t xml:space="preserve">associations for </w:t>
      </w:r>
      <w:r w:rsidR="00FB0A01" w:rsidRPr="00A858D5">
        <w:rPr>
          <w:lang w:val="en-GB"/>
        </w:rPr>
        <w:t>natural cause mortality</w:t>
      </w:r>
      <w:r w:rsidR="00645FF3" w:rsidRPr="00A858D5">
        <w:rPr>
          <w:lang w:val="en-GB"/>
        </w:rPr>
        <w:t xml:space="preserve"> were </w:t>
      </w:r>
      <w:r w:rsidR="006A2FAF" w:rsidRPr="00A858D5">
        <w:rPr>
          <w:lang w:val="en-GB"/>
        </w:rPr>
        <w:t xml:space="preserve">also </w:t>
      </w:r>
      <w:r w:rsidR="00645FF3" w:rsidRPr="00A858D5">
        <w:rPr>
          <w:lang w:val="en-GB"/>
        </w:rPr>
        <w:t>found</w:t>
      </w:r>
      <w:r w:rsidR="00B70DA4" w:rsidRPr="00A858D5">
        <w:rPr>
          <w:lang w:val="en-GB"/>
        </w:rPr>
        <w:t xml:space="preserve"> among low-educated</w:t>
      </w:r>
      <w:r w:rsidR="00F5009D" w:rsidRPr="00A858D5">
        <w:rPr>
          <w:lang w:val="en-GB"/>
        </w:rPr>
        <w:t xml:space="preserve"> women </w:t>
      </w:r>
      <w:r w:rsidR="002B43F5" w:rsidRPr="00A858D5">
        <w:rPr>
          <w:lang w:val="en-GB"/>
        </w:rPr>
        <w:t>of</w:t>
      </w:r>
      <w:r w:rsidR="006A2FAF" w:rsidRPr="00A858D5">
        <w:rPr>
          <w:lang w:val="en-GB"/>
        </w:rPr>
        <w:t xml:space="preserve"> LMIC-origin</w:t>
      </w:r>
      <w:r w:rsidR="00705B49" w:rsidRPr="00A858D5">
        <w:rPr>
          <w:lang w:val="en-GB"/>
        </w:rPr>
        <w:t>.</w:t>
      </w:r>
      <w:r w:rsidR="004004F0" w:rsidRPr="00A858D5">
        <w:rPr>
          <w:lang w:val="en-GB"/>
        </w:rPr>
        <w:t xml:space="preserve"> </w:t>
      </w:r>
      <w:r w:rsidR="00F5009D" w:rsidRPr="00A858D5">
        <w:rPr>
          <w:lang w:val="en-GB"/>
        </w:rPr>
        <w:t>When e</w:t>
      </w:r>
      <w:r w:rsidR="000A6123" w:rsidRPr="00A858D5">
        <w:rPr>
          <w:lang w:val="en-GB"/>
        </w:rPr>
        <w:t xml:space="preserve">xcluding </w:t>
      </w:r>
      <w:r w:rsidR="00A422A3" w:rsidRPr="00A858D5">
        <w:rPr>
          <w:lang w:val="en-GB"/>
        </w:rPr>
        <w:t>residents without a garden,</w:t>
      </w:r>
      <w:r w:rsidR="00254E24" w:rsidRPr="00A858D5">
        <w:rPr>
          <w:lang w:val="en-GB"/>
        </w:rPr>
        <w:t xml:space="preserve"> </w:t>
      </w:r>
      <w:r w:rsidR="00A533B0" w:rsidRPr="00A858D5">
        <w:rPr>
          <w:lang w:val="en-GB"/>
        </w:rPr>
        <w:t xml:space="preserve">the associations </w:t>
      </w:r>
      <w:r w:rsidR="0042151B" w:rsidRPr="00A858D5">
        <w:rPr>
          <w:lang w:val="en-GB"/>
        </w:rPr>
        <w:t>between poor self-perceived health and</w:t>
      </w:r>
      <w:r w:rsidR="00A533B0" w:rsidRPr="00A858D5">
        <w:rPr>
          <w:lang w:val="en-GB"/>
        </w:rPr>
        <w:t xml:space="preserve"> surrounding </w:t>
      </w:r>
      <w:r w:rsidR="006E613C" w:rsidRPr="00A858D5">
        <w:rPr>
          <w:lang w:val="en-GB"/>
        </w:rPr>
        <w:t xml:space="preserve">and perceived </w:t>
      </w:r>
      <w:r w:rsidR="00397280" w:rsidRPr="00A858D5">
        <w:rPr>
          <w:lang w:val="en-GB"/>
        </w:rPr>
        <w:t>neighbourhood</w:t>
      </w:r>
      <w:r w:rsidR="006E613C" w:rsidRPr="00A858D5">
        <w:rPr>
          <w:lang w:val="en-GB"/>
        </w:rPr>
        <w:t xml:space="preserve"> </w:t>
      </w:r>
      <w:r w:rsidR="00A533B0" w:rsidRPr="00A858D5">
        <w:rPr>
          <w:lang w:val="en-GB"/>
        </w:rPr>
        <w:t>greenness were no longer significant</w:t>
      </w:r>
      <w:r w:rsidR="001B627B" w:rsidRPr="00A858D5">
        <w:rPr>
          <w:lang w:val="en-GB"/>
        </w:rPr>
        <w:t xml:space="preserve">, except for </w:t>
      </w:r>
      <w:r w:rsidR="008D3275" w:rsidRPr="00A858D5">
        <w:rPr>
          <w:lang w:val="en-GB"/>
        </w:rPr>
        <w:t>low-educated women originating from other HIC</w:t>
      </w:r>
      <w:r w:rsidR="00A533B0" w:rsidRPr="00A858D5">
        <w:rPr>
          <w:lang w:val="en-GB"/>
        </w:rPr>
        <w:t>.</w:t>
      </w:r>
      <w:r w:rsidR="00AF5107" w:rsidRPr="00A858D5">
        <w:rPr>
          <w:lang w:val="en-GB"/>
        </w:rPr>
        <w:t xml:space="preserve"> Additionally, with </w:t>
      </w:r>
      <w:r w:rsidR="00E06915" w:rsidRPr="00A858D5">
        <w:rPr>
          <w:lang w:val="en-GB"/>
        </w:rPr>
        <w:t>perceived neighbourhood</w:t>
      </w:r>
      <w:r w:rsidR="00AF5107" w:rsidRPr="00A858D5">
        <w:rPr>
          <w:lang w:val="en-GB"/>
        </w:rPr>
        <w:t xml:space="preserve"> greenness,</w:t>
      </w:r>
      <w:r w:rsidR="005A3CD3" w:rsidRPr="00A858D5">
        <w:rPr>
          <w:lang w:val="en-GB"/>
        </w:rPr>
        <w:t xml:space="preserve"> we observed an inverse association also among low-educated men originating from Belgium.</w:t>
      </w:r>
      <w:r w:rsidR="0080784B" w:rsidRPr="00A858D5">
        <w:rPr>
          <w:lang w:val="en-GB"/>
        </w:rPr>
        <w:t xml:space="preserve"> </w:t>
      </w:r>
      <w:r w:rsidR="0042151B" w:rsidRPr="00A858D5">
        <w:rPr>
          <w:lang w:val="en-GB"/>
        </w:rPr>
        <w:t>For natural cause mortality, beneficial associations</w:t>
      </w:r>
      <w:r w:rsidR="00615AEC" w:rsidRPr="00A858D5">
        <w:rPr>
          <w:lang w:val="en-GB"/>
        </w:rPr>
        <w:t xml:space="preserve"> </w:t>
      </w:r>
      <w:r w:rsidR="00BC3BFF" w:rsidRPr="00A858D5">
        <w:rPr>
          <w:lang w:val="en-GB"/>
        </w:rPr>
        <w:t xml:space="preserve">were observed </w:t>
      </w:r>
      <w:r w:rsidR="00615AEC" w:rsidRPr="00A858D5">
        <w:rPr>
          <w:lang w:val="en-GB"/>
        </w:rPr>
        <w:t>with the two residential UGS indicators</w:t>
      </w:r>
      <w:r w:rsidR="0042151B" w:rsidRPr="00A858D5">
        <w:rPr>
          <w:lang w:val="en-GB"/>
        </w:rPr>
        <w:t xml:space="preserve"> </w:t>
      </w:r>
      <w:r w:rsidR="00A54854" w:rsidRPr="00A858D5">
        <w:rPr>
          <w:lang w:val="en-GB"/>
        </w:rPr>
        <w:t>among</w:t>
      </w:r>
      <w:r w:rsidR="00DD68CE" w:rsidRPr="00A858D5">
        <w:rPr>
          <w:lang w:val="en-GB"/>
        </w:rPr>
        <w:t xml:space="preserve"> low-educated</w:t>
      </w:r>
      <w:r w:rsidR="00A54854" w:rsidRPr="00A858D5">
        <w:rPr>
          <w:lang w:val="en-GB"/>
        </w:rPr>
        <w:t xml:space="preserve"> </w:t>
      </w:r>
      <w:r w:rsidR="00615AEC" w:rsidRPr="00A858D5">
        <w:rPr>
          <w:lang w:val="en-GB"/>
        </w:rPr>
        <w:t>men</w:t>
      </w:r>
      <w:r w:rsidR="00CA5590" w:rsidRPr="00A858D5">
        <w:rPr>
          <w:lang w:val="en-GB"/>
        </w:rPr>
        <w:t xml:space="preserve"> </w:t>
      </w:r>
      <w:r w:rsidR="002B43F5" w:rsidRPr="00A858D5">
        <w:rPr>
          <w:lang w:val="en-GB"/>
        </w:rPr>
        <w:t>of</w:t>
      </w:r>
      <w:r w:rsidR="00CA5590" w:rsidRPr="00A858D5">
        <w:rPr>
          <w:lang w:val="en-GB"/>
        </w:rPr>
        <w:t xml:space="preserve"> LMIC-origin</w:t>
      </w:r>
      <w:r w:rsidR="00615AEC" w:rsidRPr="00A858D5">
        <w:rPr>
          <w:lang w:val="en-GB"/>
        </w:rPr>
        <w:t>.</w:t>
      </w:r>
    </w:p>
    <w:p w14:paraId="30195ADB" w14:textId="7BD04A88" w:rsidR="007045E6" w:rsidRPr="00A858D5" w:rsidRDefault="007045E6" w:rsidP="007045E6">
      <w:pPr>
        <w:pStyle w:val="Heading1"/>
        <w:numPr>
          <w:ilvl w:val="0"/>
          <w:numId w:val="2"/>
        </w:numPr>
        <w:rPr>
          <w:lang w:val="en-GB"/>
        </w:rPr>
      </w:pPr>
      <w:r w:rsidRPr="00A858D5">
        <w:rPr>
          <w:lang w:val="en-GB"/>
        </w:rPr>
        <w:t>Discussion</w:t>
      </w:r>
    </w:p>
    <w:p w14:paraId="40487031" w14:textId="251845AA" w:rsidR="00F52AD0" w:rsidRPr="00436E72" w:rsidRDefault="008D3F9B" w:rsidP="006F0CE5">
      <w:pPr>
        <w:rPr>
          <w:lang w:val="en-GB"/>
        </w:rPr>
      </w:pPr>
      <w:r w:rsidRPr="00EF489B">
        <w:rPr>
          <w:lang w:val="en-GB"/>
        </w:rPr>
        <w:t>This study investigated the effect modification of several socio</w:t>
      </w:r>
      <w:r w:rsidR="00564EFD" w:rsidRPr="00EF489B">
        <w:rPr>
          <w:lang w:val="en-GB"/>
        </w:rPr>
        <w:t xml:space="preserve">economic and </w:t>
      </w:r>
      <w:r w:rsidRPr="00EF489B">
        <w:rPr>
          <w:lang w:val="en-GB"/>
        </w:rPr>
        <w:t xml:space="preserve">demographic dimensions in the relationship between residential UGS </w:t>
      </w:r>
      <w:r w:rsidR="003B6810" w:rsidRPr="00EF489B">
        <w:rPr>
          <w:lang w:val="en-GB"/>
        </w:rPr>
        <w:t xml:space="preserve">and </w:t>
      </w:r>
      <w:r w:rsidRPr="00EF489B">
        <w:rPr>
          <w:lang w:val="en-GB"/>
        </w:rPr>
        <w:t>health</w:t>
      </w:r>
      <w:r w:rsidR="00BE1490" w:rsidRPr="00EF489B">
        <w:rPr>
          <w:lang w:val="en-GB"/>
        </w:rPr>
        <w:t xml:space="preserve"> by</w:t>
      </w:r>
      <w:r w:rsidRPr="00EF489B">
        <w:rPr>
          <w:lang w:val="en-GB"/>
        </w:rPr>
        <w:t xml:space="preserve"> </w:t>
      </w:r>
      <w:r w:rsidR="00F146FE" w:rsidRPr="00EF489B">
        <w:rPr>
          <w:lang w:val="en-GB"/>
        </w:rPr>
        <w:t xml:space="preserve">applying </w:t>
      </w:r>
      <w:r w:rsidRPr="00EF489B">
        <w:rPr>
          <w:lang w:val="en-GB"/>
        </w:rPr>
        <w:t xml:space="preserve">an intersectional approach. In line with previous studies, we found an inverse association of UGS with </w:t>
      </w:r>
      <w:r w:rsidR="00EA60DE" w:rsidRPr="00EF489B">
        <w:rPr>
          <w:lang w:val="en-GB"/>
        </w:rPr>
        <w:t xml:space="preserve">poor </w:t>
      </w:r>
      <w:r w:rsidRPr="00EF489B">
        <w:rPr>
          <w:lang w:val="en-GB"/>
        </w:rPr>
        <w:t>self-perceived health</w:t>
      </w:r>
      <w:r w:rsidR="002031D6" w:rsidRPr="00EF489B">
        <w:rPr>
          <w:lang w:val="en-GB"/>
        </w:rPr>
        <w:t xml:space="preserve"> </w:t>
      </w:r>
      <w:r w:rsidR="002031D6" w:rsidRPr="00EF489B">
        <w:rPr>
          <w:lang w:val="en-GB"/>
        </w:rPr>
        <w:fldChar w:fldCharType="begin" w:fldLock="1"/>
      </w:r>
      <w:r w:rsidR="00EB5AA3">
        <w:rPr>
          <w:lang w:val="en-GB"/>
        </w:rPr>
        <w:instrText>ADDIN CSL_CITATION {"citationItems":[{"id":"ITEM-1","itemData":{"DOI":"10.1136/jech.2006.052548","author":[{"dropping-particle":"","family":"Agyemang","given":"Charles","non-dropping-particle":"","parse-names":false,"suffix":""},{"dropping-particle":"","family":"Hooijdonk","given":"Carolien","non-dropping-particle":"van","parse-names":false,"suffix":""},{"dropping-particle":"","family":"Wendel-Vos","given":"Wanda","non-dropping-particle":"","parse-names":false,"suffix":""},{"dropping-particle":"","family":"Lindeman","given":"Ellen","non-dropping-particle":"","parse-names":false,"suffix":""},{"dropping-particle":"","family":"Stronks","given":"Karien","non-dropping-particle":"","parse-names":false,"suffix":""},{"dropping-particle":"","family":"Droomers","given":"Mariël","non-dropping-particle":"","parse-names":false,"suffix":""}],"container-title":"Journal of Epidemiology &amp; Community Health","id":"ITEM-1","issued":{"date-parts":[["2007"]]},"page":"1042-1049","title":"The association of neighbourhood psychosocial stressors and self-rated health in Amsterdam, The Netherlands","type":"article-journal","volume":"61"},"uris":["http://www.mendeley.com/documents/?uuid=c6950d7e-ce2b-49f6-a31c-b36033dbe9eb"]},{"id":"ITEM-2","itemData":{"DOI":"10.1016/j.envint.2016.02.029","ISSN":"0160-4120","author":[{"dropping-particle":"","family":"Dadvand","given":"Payam","non-dropping-particle":"","parse-names":false,"suffix":""},{"dropping-particle":"","family":"Bartoll","given":"Xavier","non-dropping-particle":"","parse-names":false,"suffix":""},{"dropping-particle":"","family":"Basagaña","given":"Xavier","non-dropping-particle":"","parse-names":false,"suffix":""},{"dropping-particle":"","family":"Dalmau-Bueno","given":"Albert","non-dropping-particle":"","parse-names":false,"suffix":""},{"dropping-particle":"","family":"Martinez","given":"David","non-dropping-particle":"","parse-names":false,"suffix":""},{"dropping-particle":"","family":"Ambros","given":"Albert","non-dropping-particle":"","parse-names":false,"suffix":""},{"dropping-particle":"","family":"Cirach","given":"Marta","non-dropping-particle":"","parse-names":false,"suffix":""},{"dropping-particle":"","family":"Triguero-Mas","given":"Margarita","non-dropping-particle":"","parse-names":false,"suffix":""},{"dropping-particle":"","family":"Gascon","given":"Mireia","non-dropping-particle":"","parse-names":false,"suffix":""},{"dropping-particle":"","family":"Borrell","given":"Carme","non-dropping-particle":"","parse-names":false,"suffix":""},{"dropping-particle":"","family":"Nieuwenhuijsen","given":"Mark J","non-dropping-particle":"","parse-names":false,"suffix":""}],"container-title":"Environment International","id":"ITEM-2","issued":{"date-parts":[["2016"]]},"page":"161-167","publisher":"Elsevier Ltd","title":"Green spaces and General Health : Roles of mental health status , social support , and physical activity","type":"article-journal","volume":"91"},"uris":["http://www.mendeley.com/documents/?uuid=d6603f90-b316-41d7-996f-f5ec80001d91"]},{"id":"ITEM-3","itemData":{"DOI":"10.1068/a35111","author":[{"dropping-particle":"","family":"Vries","given":"Sjerp","non-dropping-particle":"de","parse-names":false,"suffix":""},{"dropping-particle":"","family":"Verheij","given":"Robert A","non-dropping-particle":"","parse-names":false,"suffix":""},{"dropping-particle":"","family":"Groenewegen","given":"Peter P","non-dropping-particle":"","parse-names":false,"suffix":""},{"dropping-particle":"","family":"Spreeuwenberg","given":"Peter","non-dropping-particle":"","parse-names":false,"suffix":""}],"container-title":"Environment and Planning A: Economy and Space","id":"ITEM-3","issue":"10","issued":{"date-parts":[["2003"]]},"page":"1717-1731","title":"Natural environments - healthy environments ? An exploratory analysis of the relationship between greenspace and health","type":"article-journal","volume":"35"},"uris":["http://www.mendeley.com/documents/?uuid=211d0209-c4c5-4939-a5c6-c11f4f2bd58a"]},{"id":"ITEM-4","itemData":{"DOI":"https://doi.org/10.1016/j.envres.2019.108751","ISSN":"0013-9351","abstract":"Self-perceived general health (SGH) is one of the most inclusive and widely used measures of health status and a powerful predictor of mortality. However, only a limited number of studies evaluated associations of combined environmental exposures on SGH. Our aim was to evaluate associations of combined residential exposure to surrounding green, air pollution and traffic noise with poor SGH in the Netherlands. We linked data on long-term residential exposure to surrounding green based on the Normalized Difference Vegetation Index (NDVI) and a land-use database (TOP10NL), air pollutant concentrations (including particulate matter (PM10, PM2.5), and nitrogen dioxide (NO2)) and road- and rail-traffic noise with a Dutch national health survey, resulting in a study population of 354,827 adults. We analyzed associations of single and combined exposures with poor SGH. In single-exposure models, NDVI within 300 m was inversely associated with poor SGH [odds ratio (OR) = 0.91, 95% CI: 0.89, 0.94 per IQR increase], while NO2 was positively associated with poor SGH (OR = 1.07, 95% CI: 1.04, 1.11 per IQR increase). In multi-exposure models, associations with surrounding green and air pollution generally remained, but attenuated. Joint odds ratios (JOR) of combined exposure to air pollution, rail-traffic noise and decreased surrounding green were higher than the odds ratios of single-exposure models. Studies including only one of these correlated exposures may overestimate the risk of poor SGH attributed to the studied exposure, while underestimating the risk of combined exposures.","author":[{"dropping-particle":"","family":"Klompmaker","given":"Jochem O","non-dropping-particle":"","parse-names":false,"suffix":""},{"dropping-particle":"","family":"Janssen","given":"Nicole A H","non-dropping-particle":"","parse-names":false,"suffix":""},{"dropping-particle":"","family":"Bloemsma","given":"Lizan D","non-dropping-particle":"","parse-names":false,"suffix":""},{"dropping-particle":"","family":"Gehring","given":"Ulrike","non-dropping-particle":"","parse-names":false,"suffix":""},{"dropping-particle":"","family":"Wijga","given":"Alet H","non-dropping-particle":"","parse-names":false,"suffix":""},{"dropping-particle":"","family":"Brink","given":"Carolien","non-dropping-particle":"van den","parse-names":false,"suffix":""},{"dropping-particle":"","family":"Lebret","given":"Erik","non-dropping-particle":"","parse-names":false,"suffix":""},{"dropping-particle":"","family":"Brunekreef","given":"Bert","non-dropping-particle":"","parse-names":false,"suffix":""},{"dropping-particle":"","family":"Hoek","given":"Gerard","non-dropping-particle":"","parse-names":false,"suffix":""}],"container-title":"Environmental Research","id":"ITEM-4","issued":{"date-parts":[["2019"]]},"page":"108751","title":"Residential surrounding green, air pollution, traffic noise and self-perceived general health","type":"article-journal","volume":"179"},"uris":["http://www.mendeley.com/documents/?uuid=9d007e22-e914-48d2-a036-ecfc44a79d57"]},{"id":"ITEM-5","itemData":{"DOI":"10.1136/jech.2005.043125","author":[{"dropping-particle":"","family":"Maas","given":"J","non-dropping-particle":"","parse-names":false,"suffix":""},{"dropping-particle":"","family":"Verheij","given":"Robert A","non-dropping-particle":"","parse-names":false,"suffix":""},{"dropping-particle":"","family":"Groenewegen","given":"Peter P","non-dropping-particle":"","parse-names":false,"suffix":""},{"dropping-particle":"","family":"Vries","given":"Sjerp","non-dropping-particle":"De","parse-names":false,"suffix":""},{"dropping-particle":"","family":"Spreeuwenberg","given":"Peter","non-dropping-particle":"","parse-names":false,"suffix":""}],"container-title":"Journal of Epidemiology and Community Health","id":"ITEM-5","issued":{"date-parts":[["2006"]]},"page":"587-592","title":"Green space, urbanity, and health: how strong is the relation ?","type":"article-journal","volume":"60"},"uris":["http://www.mendeley.com/documents/?uuid=e73cd8c5-0fa5-4a74-bac6-df497f45e19f"]},{"id":"ITEM-6","itemData":{"DOI":"10.1007/s11524-016-0112-3","author":[{"dropping-particle":"","family":"Orban","given":"Ester","non-dropping-particle":"","parse-names":false,"suffix":""},{"dropping-particle":"","family":"Sutcliffe","given":"Robynne","non-dropping-particle":"","parse-names":false,"suffix":""},{"dropping-particle":"","family":"Dragano","given":"Nico","non-dropping-particle":"","parse-names":false,"suffix":""}],"container-title":"Journal of Urban Health","id":"ITEM-6","issued":{"date-parts":[["2017"]]},"page":"158-169","publisher":"Journal of Urban Health","title":"Residential Surrounding Greenness , Self-Rated Health and Interrelations with Aspects of Neighborhood Environment and Social Relations","type":"article-journal","volume":"94"},"uris":["http://www.mendeley.com/documents/?uuid=20b55b5a-7929-42af-944d-8d5bda963c07"]},{"id":"ITEM-7","itemData":{"DOI":"10.1016/j.envint.2015.01.012","author":[{"dropping-particle":"","family":"Triguero-Mas","given":"Margarita","non-dropping-particle":"","parse-names":false,"suffix":""},{"dropping-particle":"","family":"Dadvand","given":"Payam","non-dropping-particle":"","parse-names":false,"suffix":""},{"dropping-particle":"","family":"Cirach","given":"Marta","non-dropping-particle":"","parse-names":false,"suffix":""},{"dropping-particle":"","family":"Martínez","given":"David","non-dropping-particle":"","parse-names":false,"suffix":""},{"dropping-particle":"","family":"Medina","given":"Antonia","non-dropping-particle":"","parse-names":false,"suffix":""},{"dropping-particle":"","family":"Mompart","given":"Anna","non-dropping-particle":"","parse-names":false,"suffix":""},{"dropping-particle":"","family":"Basagaña","given":"Xavier","non-dropping-particle":"","parse-names":false,"suffix":""},{"dropping-particle":"","family":"Gražulevičienė","given":"Regina","non-dropping-particle":"","parse-names":false,"suffix":""},{"dropping-particle":"","family":"Nieuwenhuijsen","given":"Mark J","non-dropping-particle":"","parse-names":false,"suffix":""}],"container-title":"Environment International","id":"ITEM-7","issued":{"date-parts":[["2015"]]},"page":"35-41","title":"Natural outdoor environments and mental and physical health : Relationships and mechanisms","type":"article-journal","volume":"77"},"uris":["http://www.mendeley.com/documents/?uuid=5dc0813b-3dc5-47ac-afec-463658e4c795"]},{"id":"ITEM-8","itemData":{"DOI":"10.1136/jech.2009.104695","author":[{"dropping-particle":"","family":"Dillen","given":"Sonja M E","non-dropping-particle":"Van","parse-names"</w:instrText>
      </w:r>
      <w:r w:rsidR="00EB5AA3" w:rsidRPr="00EB5AA3">
        <w:rPr>
          <w:lang w:val="fr-FR"/>
        </w:rPr>
        <w:instrText>:false,"suffix":""},{"dropping-particle":"","family":"Vries","given":"Sjerp","non-dropping-particle":"De","parse-names":false,"suffix":""},{"dropping-particle":"","family":"Groenewegen","given":"Peter P","non-dropping-particle":"","parse-names":false,"suffix":""},{"dropping-particle":"","family":"Spreeuwenberg","given":"Peter","non-dropping-particle":"","parse-names":false,"suffix":""}],"container-title":"J Epidemiol Community Health","id":"ITEM-8","issued":{"date-parts":[["2012"]]},"page":"1-5","title":"Greenspace in urban neighbourhoods and residents' health : adding quality to quantity","type":"article-journal","volume":"66"},"uris":["http://www.mendeley.com/documents/?uuid=1c832e41-db7b-4c9a-9d0a-da5dd87f0bdf"]}],"mendeley":{"formattedCitation":"(Agyemang et al., 2007; Dadvand et al., 2016; de Vries et al., 2003; Klompmaker et al., 2019; Maas et al., 2006; Orban et al., 2017; Triguero-Mas et al., 2015; Van Dillen et al., 2012)","plainTextFormattedCitation":"(Agyemang et al., 2007; Dadvand et al., 2016; de Vries et al., 2003; Klompmaker et al., 2019; Maas et al., 2006; Orban et al., 2017; Triguero-Mas et al., 2015; Van Dillen et al., 2012)","previouslyFormattedCitation":"(Agyemang et al., 2007; Dadvand et al., 2016; De Vries et al., 2003; Klompmaker et al., 2019; Maas et al., 2006; Orban et al., 2017; Triguero-Mas et al., 2015; Van Dillen et al., 2012)"},"properties":{"noteIndex":0},"schema":"https://github.com/citation-style-language/schema/raw/master/csl-citation.json"}</w:instrText>
      </w:r>
      <w:r w:rsidR="002031D6" w:rsidRPr="00EF489B">
        <w:rPr>
          <w:lang w:val="en-GB"/>
        </w:rPr>
        <w:fldChar w:fldCharType="separate"/>
      </w:r>
      <w:r w:rsidR="00EB5AA3" w:rsidRPr="00EB5AA3">
        <w:rPr>
          <w:noProof/>
          <w:lang w:val="fr-FR"/>
        </w:rPr>
        <w:t>(Agyemang et al., 2007; Dadvand et al., 2016; de Vries et al., 2003; Klompmaker et al., 2019; Maas et al., 2006; Orban et al., 2017; Triguero-Mas et al., 2015; Van Dillen et al., 2012)</w:t>
      </w:r>
      <w:r w:rsidR="002031D6" w:rsidRPr="00EF489B">
        <w:rPr>
          <w:lang w:val="en-GB"/>
        </w:rPr>
        <w:fldChar w:fldCharType="end"/>
      </w:r>
      <w:r w:rsidRPr="005F0754">
        <w:rPr>
          <w:lang w:val="fr-FR"/>
        </w:rPr>
        <w:t xml:space="preserve"> </w:t>
      </w:r>
      <w:r w:rsidRPr="00382CD2">
        <w:rPr>
          <w:lang w:val="fr-FR"/>
        </w:rPr>
        <w:t xml:space="preserve">and </w:t>
      </w:r>
      <w:proofErr w:type="spellStart"/>
      <w:r w:rsidRPr="00382CD2">
        <w:rPr>
          <w:lang w:val="fr-FR"/>
        </w:rPr>
        <w:t>natural</w:t>
      </w:r>
      <w:proofErr w:type="spellEnd"/>
      <w:r w:rsidRPr="00382CD2">
        <w:rPr>
          <w:lang w:val="fr-FR"/>
        </w:rPr>
        <w:t xml:space="preserve"> cause </w:t>
      </w:r>
      <w:proofErr w:type="spellStart"/>
      <w:r w:rsidRPr="00382CD2">
        <w:rPr>
          <w:lang w:val="fr-FR"/>
        </w:rPr>
        <w:t>mortality</w:t>
      </w:r>
      <w:proofErr w:type="spellEnd"/>
      <w:r w:rsidR="008E6EE1" w:rsidRPr="005F0754">
        <w:rPr>
          <w:lang w:val="fr-FR"/>
        </w:rPr>
        <w:t xml:space="preserve"> </w:t>
      </w:r>
      <w:r w:rsidR="008E6EE1" w:rsidRPr="00EF489B">
        <w:rPr>
          <w:lang w:val="en-GB"/>
        </w:rPr>
        <w:fldChar w:fldCharType="begin" w:fldLock="1"/>
      </w:r>
      <w:r w:rsidR="0075272A">
        <w:rPr>
          <w:lang w:val="fr-FR"/>
        </w:rPr>
        <w:instrText>ADDIN CSL_CITATION {"citationItems":[{"id":"ITEM-1","itemData":{"DOI":"10.1016/S2542-5196(17)30118-3","author":[{"dropping-particle":"","family":"Crouse","given":"Dan L","non-dropping-particle":"","parse-names":false,"suffix":""},{"dropping-particle":"","family":"Pinault","given":"Lauren","non-dropping-particle":"","parse-names":false,"suffix":""},{"dropping-particle":"","family":"Balram","given":"Adele","non-dropping-particle":"","parse-names":false,"suffix":""},{"dropping-particle":"","family":"Hystad","given":"Perry","non-dropping-particle":"","parse-names":false,"suffix":""},{"dropping-particle":"","family":"Peters","given":"Paul A","non-dropping-particle":"","parse-names":false,"suffix":""},{"dropping-particle":"","family":"Chen","given":"Hong","non-dropping-particle":"","parse-names":false,"suffix":""},{"dropping-particle":"Van","family":"Donkelaar","given":"Aaron","non-dropping-particle":"","parse-names":false,"suffix":""},{"dropping-particle":"V","family":"Martin","given":"Randall","non-dropping-particle":"","parse-names":false,"suffix":""},{"dropping-particle":"","family":"Ménard","given":"Richard","non-dropping-particle":"","parse-names":false,"suffix":""},{"dropping-particle":"","family":"Robichaud","given":"Alain","non-dropping-particle":"","parse-names":false,"suffix":""},{"dropping-particle":"","family":"Villeneuve","given":"Paul J","non-dropping-particle":"","parse-names":false,"suffix":""}],"container-title":"The Lancet Planetary Health","id":"ITEM-1","issued":{"date-parts":[["2017"]]},"page":"e289-97","title":"Urban greenness and mortality in Canada ’ s largest cities : a national cohort study","type":"article-journal","volume":"1"},"uris":["http://www.mendeley.com/documents/?uuid=e5e08b31-aed3-4093-8aad-a622187a866b"]},{"id":"ITEM-2","itemData":{"author":[{"dropping-particle":"","family":"Orioli","given":"Riccardo","non-dropping-particle":"","parse-names":false,"suffix":""},{"dropping-particle":"","family":"Antonucci","given":"Chiara","non-dropping-particle":"","parse-names":false,"suffix":""},{"dropping-particle":"","family":"Scortichini","given":"Matteo","non-dropping-particle":"","parse-names":false,"suffix":""},{"dropping-particle":"","family":"Cerza","given":"Francesco","non-dropping-particle":"","parse-names":false,"suffix":""},{"dropping-particle":"","family":"Marando","given":"Federica","non-dropping-particle":"","parse-names":false,"suffix":""},{"dropping-particle":"","family":"Ancona","given":"Carla","non-dropping-particle":"","parse-names":false,"suffix":""},{"dropping-particle":"","family":"Manes","given":"Fausto","non-dropping-particle":"","parse-names":false,"suffix":""},{"dropping-particle":"","family":"Davoli","given":"Marina","non-dropping-particle":"","parse-names":false,"suffix":""},{"dropping-particle":"","family":"Michelozzi","given":"Paola","non-dropping-particle":"","parse-names":false,"suffix":""},{"dropping-particle":"","family":"Forastiere","given":"Francesco","non-dropping-particle":"","parse-names":false,"suffix":""},{"dropping-particle":"","family":"Cesaroni","given":"Giulia","non-dropping-particle":"","parse-names":false,"suffix":""}],"container-title":"Environmental Health Perspectives","id":"ITEM-2","issue":"2","issued":{"date-parts":[["2019"]]},"page":"1-11","title":"Exposure to Residential Greenness as a Predictor of Cause-Specific Mortality and Stroke Incidence in the Rome Longitudinal Study","type":"article-journal","volume":"127"},"uris":["http://www.mendeley.com/documents/?uuid=70d5e676-5e6a-4de1-b39b-ea6a81bc9ad0"]},{"id":"ITEM-3","itemData":{"DOI":"10.1016/j.envint.2017.08.012","ISSN":"0160-4120","author":[{"dropping-particle":"","family":"Vienneau","given":"Danielle","non-dropping-particle":"","parse-names":false,"suffix":""},{"dropping-particle":"De","family":"Hoogh","given":"Kees","non-dropping-particle":"","parse-names":false,"suffix":""},{"dropping-particle":"","family":"Faeh","given":"David","non-dropping-particle":"","parse-names":false,"suffix":""},{"dropping-particle":"","family":"Kaufmann","given":"Marco","non-dropping-particle":"","parse-names":false,"suffix":""},{"dropping-particle":"","family":"Marc","given":"Jean","non-dropping-particle":"","parse-names":false,"suffix":""},{"dropping-particle":"","family":"Röösli","given":"Martin","non-dropping-particle":"","parse-names":false,"suffix":""},{"dropping-particle":"","family":"Snc","given":"The","non-dropping-particle":"","parse-names":false,"suffix":""},{"dropping-particle":"","family":"Group","given":"Study","non-dropping-particle":"","parse-names":false,"suffix":""}],"container-title":"Environment International","id":"ITEM-3","issue":"May","issued":{"date-parts":[["2017"]]},"page":"176-184","publisher":"Elsevier","title":"More than clean air and tranquillity : Residential green is independently associated with decreasing mortality","type":"article-journal","volume":"108"},"uris":["http://www.mendeley.com/documents/?uuid=874ebba8-39b4-4a64-b94a-6f75818a1ba8"]},{"id":"ITEM-4","itemData":{"DOI":"10.1016/j.envres.2012.03.003","ISSN":"0013-9351","author":[{"dropping-particle":"","family":"Villeneuve","given":"Paul J","non-dropping-particle":"","parse-names":false,"suffix":""},{"dropping-particle":"","family":"Jerrett","given":"Michael","non-dropping-particle":"","parse-names":false,"suffix":""},{"dropping-particle":"","family":"Su","given":"Jason G","non-dropping-particle":"","parse-names":false,"suffix":""},{"dropping-particle":"","family":"Burnett","given":"Richard T","non-dropping-particle":"","parse-names":false,"suffix":""},{"dropping-particle":"","family":"Chen","given":"Hong","non-dropping-particle":"","parse-names":false,"suffix":""},{"dropping-particle":"","family":"Wheeler","given":"Amanda J","non-dropping-particle":"","parse-names":false,"suffix":""},{"dropping-particle":"","family":"Goldberg","given":"Mark S","non-dropping-particle":"","parse-names":false,"suffix":""}],"container-title":"Environmental Research","id":"ITEM-4","issued":{"date-parts":[["2012"]]},"page":"51-58","publisher":"Elsevier","title":"A cohort study relating urban green space with mortality in Ontario, Canada","type":"article-journal","volume":"115"},"uris":["http://www.mendeley.com/documents/?uuid=19a8f8ef-735f-449a-b143-924c98f795f1"]},{"id":"ITEM-5","itemData":{"author":[{"dropping-particle":"","family":"James","given":"Peter","non-dropping-particle":"","parse-names":false,"suffix":""},{"dropping-particle":"","family":"Hart","given":"Jaime E","non-dropping-particle":"","parse-names":false,"suffix":""},{"dropping-particle":"","family":"Banay","given":"Rachel F","non-dropping-particle":"","parse-names":false,"suffix":""},{"dropping-particle":"","family":"Laden","given":"Francine","non-dropping-particle":"","parse-names":false,"suffix":""}],"container-title":"Environmental Health Perspectives","id":"ITEM-5","issue":"9","issued":{"date-parts":[["2016"]]},"page":"1344-1352","title":"Exposure to Greenness and Mortality in a Nationwide Prospective Cohort Study of Women","type":"article-journal","volume":"124"},"uris":["http://www.mendeley.com/documents/?uuid=3cd33a22-8a2e-4fcb-be74-437806fb9a42"]},{"id":"ITEM-6","itemData":{"DOI":"https://doi.org/10.1016/j.envint.2020.106365","ISSN":"0160-4120","abstract":"Background Epidemiological studies suggest that residing close to green space reduce mortality rates. We investigated the relationship between long-term exposure to residential green space and non-accidental and cardio-respiratory mortality. Methods We linked the Belgian 2001 census to population and mortality register follow-up data (2001–2011) among adults aged 30 years and older residing in the five largest urban areas in Belgium (n = 2,185,170 and mean follow-up time 9.4 years). Residential addresses were available at baseline. Exposure to green space was defined as 1) surrounding greenness (2006) [normalized difference vegetation index (NDVI) and modified soil-adjusted vegetation index (MSAVI2)] within buffers of 300 m, 500 m, and 1000 m; 2) surrounding green space (2006) [Urban Atlas (UA) and CORINE Land Cover (CLC)] within buffers of 300 m, 500 m, and 1000 m; and 3) perceived neighborhood green space (2001). Cox proportional hazards models with age as the underlying time scale were used to probe into cause-specific mortality (non-accidental, respiratory, COPD, cardiovascular, ischemic heart disease (IHD), and cerebrovascular). Models were adjusted for several sociodemographic variables (age, sex, marital status, country of birth, education level, employment status, and area mean income). We further adjusted our main models for annual mean (2010) values of ambient air pollution (PM2.5, PM10, NO2 and BC, one at a time), and we additionally explored potential mediation with the aforementioned pollutants. Results Higher degrees of residential green space were associated with lower rates of non-accidental and respiratory mortality. In fully adjusted models, hazard ratios (HR) per interquartile range (IQR) increase in NDVI 500 m buffer (IQR: 0.24) and UA 500 m buffer (IQR: 0.31) were 0.97 (95%CI 0.96–0.98) and 0.99 (95%CI 0.98–0.99) for non-accidental mortality, and 0.95 (95%CI 0.93–0.98) and 0.97 (95%CI 0.96–0.99) for respiratory mortality. For perceived neighborhood green space, HRs were 0.93 (95%CI 0.92–0.94) and 0.94 (95%CI 0.91–0.98) for non-accidental and respiratory mortality, respectively. The observed lower mortality risks associated with residential exposure to green space were largely independent from exposure to ambient air pollutants. Conclusion We observed evidence for lower mortality risk in associations with long-term residential exposure to green space in most but not all studied causes of death in a large representative cohort for the…","author":[{"dropping-particle":"","family":"Bauwelinck","given":"Mariska","non-dropping-particle":"","parse-names":false,"suffix":""},{"dropping-particle":"","family":"Casas","given":"Lidia","non-dropping-particle":"","parse-names":false,"suffix":""},{"dropping-particle":"","family":"Nawrot","given":"Tim S","non-dropping-particle":"","parse-names":false,"suffix":""},{"dropping-particle":"","family":"Nemery","given":"Benoit","non-dropping-particle":"","parse-names":false,"suffix":""},{"dropping-particle":"","family":"Trabelsi","given":"Sonia","non-dropping-particle":"","parse-names":false,"suffix":""},{"dropping-particle":"","family":"Thomas","given":"Isabelle","non-dropping-particle":"","parse-names":false,"suffix":""},{"dropping-particle":"","family":"Aerts","given":"Raf","non-dropping-particle":"","parse-names":false,"suffix":""},{"dropping-particle":"","family":"Lefebvre","given":"Wouter","non-dropping-particle":"","parse-names":false,"suffix":""},{"dropping-particle":"","family":"Vanpoucke","given":"Charlotte","non-dropping-particle":"","parse-names":false,"suffix":""},{"dropping-particle":"","family":"Nieuwenhuyse","given":"An","non-dropping-particle":"Van","parse-names":false,"suffix":""},{"dropping-particle":"","family":"Deboosere","given":"Patrick","non-dropping-particle":"","parse-names":false,"suffix":""},{"dropping-particle":"","family":"Vandenheede","given":"Hadewijch","non-dropping-particle":"","parse-names":false,"suffix":""}],"container-title":"Environment International","id":"ITEM-6","issued":{"date-parts":[["2021"]]},"page":"106365","title":"Residing in urban areas with higher green space is associated with lower mortality risk: A census-based cohort study with ten years of follow-up","type":"article-journal","volume":"148"},"uris":["http://www.mendeley.com/documents/?uuid=0c494c14-c951-40e8-811e-08967e2b217f"]}],"mendeley":{"formattedCitation":"(Bauwelinck et al., 2021; Crouse et al., 2017; James et al., 2016; Orioli et al., 2019; Vienneau et al., 2017; Villeneuve et al., 2012)","plainTextFormattedCitation":"(Bauwelinck et al., 2021; Crouse et al., 2017; James et al., 2016; Orioli et al., 2019; Vienneau et al., 2017; Villeneuve et al., 2012)","previouslyFormattedCitation":"(Bauwelinck et al., 2021; Crouse et al., 2017; James et al., 2016; Orioli et al., 2019; Vienneau et al., 2017; Villeneuve et al., 2012)"},"properties":{"noteIndex":0},"schema":"https://github.com/citation-style-language/schema/raw/master/csl-citation.json"}</w:instrText>
      </w:r>
      <w:r w:rsidR="008E6EE1" w:rsidRPr="00EF489B">
        <w:rPr>
          <w:lang w:val="en-GB"/>
        </w:rPr>
        <w:fldChar w:fldCharType="separate"/>
      </w:r>
      <w:r w:rsidR="00452D47" w:rsidRPr="00452D47">
        <w:rPr>
          <w:noProof/>
          <w:lang w:val="fr-FR"/>
        </w:rPr>
        <w:t>(Bauwelinck et al., 2021; Crouse et al., 2017; James et al., 2016; Orioli et al., 2019; Vienneau et al., 2017; Villeneuve et al., 2012)</w:t>
      </w:r>
      <w:r w:rsidR="008E6EE1" w:rsidRPr="00EF489B">
        <w:rPr>
          <w:lang w:val="en-GB"/>
        </w:rPr>
        <w:fldChar w:fldCharType="end"/>
      </w:r>
      <w:r w:rsidRPr="005F0754">
        <w:rPr>
          <w:lang w:val="fr-FR"/>
        </w:rPr>
        <w:t xml:space="preserve">. </w:t>
      </w:r>
      <w:r w:rsidR="00F52AD0" w:rsidRPr="00436E72">
        <w:rPr>
          <w:lang w:val="en-GB"/>
        </w:rPr>
        <w:t>Our models were adjusted by several sociodemographic and socioeconomic variables, at both the individual and the area-level. However, we cannot dismiss residual confounding for other variables that were not available in our dataset</w:t>
      </w:r>
      <w:r w:rsidR="0075272A" w:rsidRPr="00436E72">
        <w:rPr>
          <w:lang w:val="en-GB"/>
        </w:rPr>
        <w:t xml:space="preserve">. For instance, lifestyle factors, such as BMI or smoking status could have also affected our findings, although these might be highly determined by the sociodemographic and socioeconomic characteristics considered and, moreover, previous studies adjusting by these variables showed similar results as ours </w:t>
      </w:r>
      <w:r w:rsidR="0075272A" w:rsidRPr="00436E72">
        <w:rPr>
          <w:lang w:val="en-GB"/>
        </w:rPr>
        <w:fldChar w:fldCharType="begin" w:fldLock="1"/>
      </w:r>
      <w:r w:rsidR="0075272A" w:rsidRPr="00436E72">
        <w:rPr>
          <w:lang w:val="en-GB"/>
        </w:rPr>
        <w:instrText>ADDIN CSL_CITATION {"citationItems":[{"id":"ITEM-1","itemData":{"DOI":"https://doi.org/10.1016/j.envres.2019.108751","ISSN":"0013-9351","abstract":"Self-perceived general health (SGH) is one of the most inclusive and widely used measures of health status and a powerful predictor of mortality. However, only a limited number of studies evaluated associations of combined environmental exposures on SGH. Our aim was to evaluate associations of combined residential exposure to surrounding green, air pollution and traffic noise with poor SGH in the Netherlands. We linked data on long-term residential exposure to surrounding green based on the Normalized Difference Vegetation Index (NDVI) and a land-use database (TOP10NL), air pollutant concentrations (including particulate matter (PM10, PM2.5), and nitrogen dioxide (NO2)) and road- and rail-traffic noise with a Dutch national health survey, resulting in a study population of 354,827 adults. We analyzed associations of single and combined exposures with poor SGH. In single-exposure models, NDVI within 300 m was inversely associated with poor SGH [odds ratio (OR) = 0.91, 95% CI: 0.89, 0.94 per IQR increase], while NO2 was positively associated with poor SGH (OR = 1.07, 95% CI: 1.04, 1.11 per IQR increase). In multi-exposure models, associations with surrounding green and air pollution generally remained, but attenuated. Joint odds ratios (JOR) of combined exposure to air pollution, rail-traffic noise and decreased surrounding green were higher than the odds ratios of single-exposure models. Studies including only one of these correlated exposures may overestimate the risk of poor SGH attributed to the studied exposure, while underestimating the risk of combined exposures.","author":[{"dropping-particle":"","family":"Klompmaker","given":"Jochem O","non-dropping-particle":"","parse-names":false,"suffix":""},{"dropping-particle":"","family":"Janssen","given":"Nicole A H","non-dropping-particle":"","parse-names":false,"suffix":""},{"dropping-particle":"","family":"Bloemsma","given":"Lizan D","non-dropping-particle":"","parse-names":false,"suffix":""},{"dropping-particle":"","family":"Gehring","given":"Ulrike","non-dropping-particle":"","parse-names":false,"suffix":""},{"dropping-particle":"","family":"Wijga","given":"Alet H","non-dropping-particle":"","parse-names":false,"suffix":""},{"dropping-particle":"","family":"Brink","given":"Carolien","non-dropping-particle":"van den","parse-names":false,"suffix":""},{"dropping-particle":"","family":"Lebret","given":"Erik","non-dropping-particle":"","parse-names":false,"suffix":""},{"dropping-particle":"","family":"Brunekreef","given":"Bert","non-dropping-particle":"","parse-names":false,"suffix":""},{"dropping-particle":"","family":"Hoek","given":"Gerard","non-dropping-particle":"","parse-names":false,"suffix":""}],"container-title":"Environmental Research","id":"ITEM-1","issued":{"date-parts":[["2019"]]},"page":"108751","title":"Residential surrounding green, air pollution, traffic noise and self-perceived general health","type":"article-journal","volume":"179"},"uris":["http://www.mendeley.com/documents/?uuid=9d007e22-e914-48d2-a036-ecfc44a79d57"]},{"id":"ITEM-2","itemData":{"DOI":"10.1016/S2542-5196(17)30118-3","author":[{"dropping-particle":"","family":"Crouse","given":"Dan L","non-dropping-particle":"","parse-names":false,"suffix":""},{"dropping-particle":"","family":"Pinault","given":"Lauren","non-dropping-particle":"","parse-names":false,"suffix":""},{"dropping-particle":"","family":"Balram","given":"Adele","non-dropping-particle":"","parse-names":false,"suffix":""},{"dropping-particle":"","family":"Hystad","given":"Perry","non-dropping-particle":"","parse-names":false,"suffix":""},{"dropping-particle":"","family":"Peters","given":"Paul A","non-dropping-particle":"","parse-names":false,"suffix":""},{"dropping-particle":"","family":"Chen","given":"Hong","non-dropping-particle":"","parse-names":false,"suffix":""},{"dropping-particle":"Van","family":"Donkelaar","given":"Aaron","non-dropping-particle":"","parse-names":false,"suffix":""},{"dropping-particle":"V","family":"Martin","given":"Randall","non-dropping-particle":"","parse-names":false,"suffix":""},{"dropping-particle":"","family":"Ménard","given":"Richard","non-dropping-particle":"","parse-names":false,"suffix":""},{"dropping-particle":"","family":"Robichaud","given":"Alain","non-dropping-particle":"","parse-names":false,"suffix":""},{"dropping-particle":"","family":"Villeneuve","given":"Paul J","non-dropping-particle":"","parse-names":false,"suffix":""}],"container-title":"The Lancet Planetary Health","id":"ITEM-2","issued":{"date-parts":[["2017"]]},"page":"e289-97","title":"Urban greenness and mortality in Canada ’ s largest cities : a national cohort study","type":"article-journal","volume":"1"},"uris":["http://www.mendeley.com/documents/?uuid=e5e08b31-aed3-4093-8aad-a622187a866b"]}],"mendeley":{"formattedCitation":"(Crouse et al., 2017; Klompmaker et al., 2019)","plainTextFormattedCitation":"(Crouse et al., 2017; Klompmaker et al., 2019)","previouslyFormattedCitation":"(Crouse et al., 2017; Klompmaker et al., 2019)"},"properties":{"noteIndex":0},"schema":"https://github.com/citation-style-language/schema/raw/master/csl-citation.json"}</w:instrText>
      </w:r>
      <w:r w:rsidR="0075272A" w:rsidRPr="00436E72">
        <w:rPr>
          <w:lang w:val="en-GB"/>
        </w:rPr>
        <w:fldChar w:fldCharType="separate"/>
      </w:r>
      <w:r w:rsidR="0075272A" w:rsidRPr="00436E72">
        <w:rPr>
          <w:noProof/>
          <w:lang w:val="en-GB"/>
        </w:rPr>
        <w:t>(Crouse et al., 2017; Klompmaker et al., 2019)</w:t>
      </w:r>
      <w:r w:rsidR="0075272A" w:rsidRPr="00436E72">
        <w:rPr>
          <w:lang w:val="en-GB"/>
        </w:rPr>
        <w:fldChar w:fldCharType="end"/>
      </w:r>
      <w:r w:rsidR="0075272A" w:rsidRPr="00436E72">
        <w:rPr>
          <w:lang w:val="en-GB"/>
        </w:rPr>
        <w:t>. We also lacked information on potential mediators of the association between green spaces and health,</w:t>
      </w:r>
      <w:r w:rsidR="00F52AD0" w:rsidRPr="00436E72">
        <w:rPr>
          <w:lang w:val="en-GB"/>
        </w:rPr>
        <w:t xml:space="preserve"> such as physical activity, or other contextual elements like social cohesion</w:t>
      </w:r>
      <w:r w:rsidR="0075272A" w:rsidRPr="00436E72">
        <w:rPr>
          <w:lang w:val="en-GB"/>
        </w:rPr>
        <w:t xml:space="preserve"> </w:t>
      </w:r>
      <w:r w:rsidR="0075272A" w:rsidRPr="00436E72">
        <w:rPr>
          <w:lang w:val="en-GB"/>
        </w:rPr>
        <w:fldChar w:fldCharType="begin" w:fldLock="1"/>
      </w:r>
      <w:r w:rsidR="0024560E" w:rsidRPr="00436E72">
        <w:rPr>
          <w:lang w:val="en-GB"/>
        </w:rPr>
        <w:instrText>ADDIN CSL_CITATION {"citationItems":[{"id":"ITEM-1","itemData":{"DOI":"10.1016/j.envint.2016.02.029","ISSN":"0160-4120","author":[{"dropping-particle":"","family":"Dadvand","given":"Payam","non-dropping-particle":"","parse-names":false,"suffix":""},{"dropping-particle":"","family":"Bartoll","given":"Xavier","non-dropping-particle":"","parse-names":false,"suffix":""},{"dropping-particle":"","family":"Basagaña","given":"Xavier","non-dropping-particle":"","parse-names":false,"suffix":""},{"dropping-particle":"","family":"Dalmau-Bueno","given":"Albert","non-dropping-particle":"","parse-names":false,"suffix":""},{"dropping-particle":"","family":"Martinez","given":"David","non-dropping-particle":"","parse-names":false,"suffix":""},{"dropping-particle":"","family":"Ambros","given":"Albert","non-dropping-particle":"","parse-names":false,"suffix":""},{"dropping-particle":"","family":"Cirach","given":"Marta","non-dropping-particle":"","parse-names":false,"suffix":""},{"dropping-particle":"","family":"Triguero-Mas","given":"Margarita","non-dropping-particle":"","parse-names":false,"suffix":""},{"dropping-particle":"","family":"Gascon","given":"Mireia","non-dropping-particle":"","parse-names":false,"suffix":""},{"dropping-particle":"","family":"Borrell","given":"Carme","non-dropping-particle":"","parse-names":false,"suffix":""},{"dropping-particle":"","family":"Nieuwenhuijsen","given":"Mark J","non-dropping-particle":"","parse-names":false,"suffix":""}],"container-title":"Environment International","id":"ITEM-1","issued":{"date-parts":[["2016"]]},"page":"161-167","publisher":"Elsevier Ltd","title":"Green spaces and General Health : Roles of mental health status , social support , and physical activity","type":"article-journal","volume":"91"},"uris":["http://www.mendeley.com/documents/?uuid=d6603f90-b316-41d7-996f-f5ec80001d91"]}],"mendeley":{"formattedCitation":"(Dadvand et al., 2016)","plainTextFormattedCitation":"(Dadvand et al., 2016)","previouslyFormattedCitation":"(Dadvand et al., 2016)"},"properties":{"noteIndex":0},"schema":"https://github.com/citation-style-language/schema/raw/master/csl-citation.json"}</w:instrText>
      </w:r>
      <w:r w:rsidR="0075272A" w:rsidRPr="00436E72">
        <w:rPr>
          <w:lang w:val="en-GB"/>
        </w:rPr>
        <w:fldChar w:fldCharType="separate"/>
      </w:r>
      <w:r w:rsidR="0075272A" w:rsidRPr="00436E72">
        <w:rPr>
          <w:noProof/>
          <w:lang w:val="en-GB"/>
        </w:rPr>
        <w:t>(Dadvand et al., 2016)</w:t>
      </w:r>
      <w:r w:rsidR="0075272A" w:rsidRPr="00436E72">
        <w:rPr>
          <w:lang w:val="en-GB"/>
        </w:rPr>
        <w:fldChar w:fldCharType="end"/>
      </w:r>
      <w:r w:rsidR="00F52AD0" w:rsidRPr="00436E72">
        <w:rPr>
          <w:lang w:val="en-GB"/>
        </w:rPr>
        <w:t>. N</w:t>
      </w:r>
      <w:r w:rsidR="005828FC" w:rsidRPr="00436E72">
        <w:rPr>
          <w:lang w:val="en-GB"/>
        </w:rPr>
        <w:t xml:space="preserve">otwithstanding </w:t>
      </w:r>
      <w:r w:rsidR="00F52AD0" w:rsidRPr="00436E72">
        <w:rPr>
          <w:lang w:val="en-GB"/>
        </w:rPr>
        <w:t xml:space="preserve">these potential limitations, and bearing in mind important methodological, contextual and population variations across studies, our </w:t>
      </w:r>
      <w:r w:rsidR="0075272A" w:rsidRPr="00436E72">
        <w:rPr>
          <w:lang w:val="en-GB"/>
        </w:rPr>
        <w:t>results</w:t>
      </w:r>
      <w:r w:rsidR="00F52AD0" w:rsidRPr="00436E72">
        <w:rPr>
          <w:lang w:val="en-GB"/>
        </w:rPr>
        <w:t xml:space="preserve"> were fairly comparable in strength to those of the existing literature on UGS and poor self-perceived health </w:t>
      </w:r>
      <w:r w:rsidR="00F52AD0" w:rsidRPr="00436E72">
        <w:rPr>
          <w:lang w:val="en-GB"/>
        </w:rPr>
        <w:fldChar w:fldCharType="begin" w:fldLock="1"/>
      </w:r>
      <w:r w:rsidR="00F52AD0" w:rsidRPr="00436E72">
        <w:rPr>
          <w:lang w:val="en-GB"/>
        </w:rPr>
        <w:instrText>ADDIN CSL_CITATION {"citationItems":[{"id":"ITEM-1","itemData":{"DOI":"10.1016/j.envint.2015.01.012","author":[{"dropping-particle":"","family":"Triguero-Mas","given":"Margarita","non-dropping-particle":"","parse-names":false,"suffix":""},{"dropping-particle":"","family":"Dadvand","given":"Payam","non-dropping-particle":"","parse-names":false,"suffix":""},{"dropping-particle":"","family":"Cirach","given":"Marta","non-dropping-particle":"","parse-names":false,"suffix":""},{"dropping-particle":"","family":"Martínez","given":"David","non-dropping-particle":"","parse-names":false,"suffix":""},{"dropping-particle":"","family":"Medina","given":"Antonia","non-dropping-particle":"","parse-names":false,"suffix":""},{"dropping-particle":"","family":"Mompart","given":"Anna","non-dropping-particle":"","parse-names":false,"suffix":""},{"dropping-particle":"","family":"Basagaña","given":"Xavier","non-dropping-particle":"","parse-names":false,"suffix":""},{"dropping-particle":"","family":"Gražulevičienė","given":"Regina","non-dropping-particle":"","parse-names":false,"suffix":""},{"dropping-particle":"","family":"Nieuwenhuijsen","given":"Mark J","non-dropping-particle":"","parse-names":false,"suffix":""}],"container-title":"Environment International","id":"ITEM-1","issued":{"date-parts":[["2015"]]},"page":"35-41","title":"Natural outdoor environments and mental and physical health : Relationships and mechanisms","type":"article-journal","volume":"77"},"uris":["http://www.mendeley.com/documents/?uuid=5dc0813b-3dc5-47ac-afec-463658e4c795"]},{"id":"ITEM-2","itemData":{"DOI":"https://doi.org/10.1016/j.envres.2019.108751","ISSN":"0013-9351","abstract":"Self-perceived general health (SGH) is one of the most inclusive and widely used measures of health status and a powerful predictor of mortality. However, only a limited number of studies evaluated associations of combined environmental exposures on SGH. Our aim was to evaluate associations of combined residential exposure to surrounding green, air pollution and traffic noise with poor SGH in the Netherlands. We linked data on long-term residential exposure to surrounding green based on the Normalized Difference Vegetation Index (NDVI) and a land-use database (TOP10NL), air pollutant concentrations (including particulate matter (PM10, PM2.5), and nitrogen dioxide (NO2)) and road- and rail-traffic noise with a Dutch national health survey, resulting in a study population of 354,827 adults. We analyzed associations of single and combined exposures with poor SGH. In single-exposure models, NDVI within 300 m was inversely associated with poor SGH [odds ratio (OR) = 0.91, 95% CI: 0.89, 0.94 per IQR increase], while NO2 was positively associated with poor SGH (OR = 1.07, 95% CI: 1.04, 1.11 per IQR increase). In multi-exposure models, associations with surrounding green and air pollution generally remained, but attenuated. Joint odds ratios (JOR) of combined exposure to air pollution, rail-traffic noise and decreased surrounding green were higher than the odds ratios of single-exposure models. Studies including only one of these correlated exposures may overestimate the risk of poor SGH attributed to the studied exposure, while underestimating the risk of combined exposures.","author":[{"dropping-particle":"","family":"Klompmaker","given":"Jochem O","non-dropping-particle":"","parse-names":false,"suffix":""},{"dropping-particle":"","family":"Janssen","given":"Nicole A H","non-dropping-particle":"","parse-names":false,"suffix":""},{"dropping-particle":"","family":"Bloemsma","given":"Lizan D","non-dropping-particle":"","parse-names":false,"suffix":""},{"dropping-particle":"","family":"Gehring","given":"Ulrike","non-dropping-particle":"","parse-names":false,"suffix":""},{"dropping-particle":"","family":"Wijga","given":"Alet H","non-dropping-particle":"","parse-names":false,"suffix":""},{"dropping-particle":"","family":"Brink","given":"Carolien","non-dropping-particle":"van den","parse-names":false,"suffix":""},{"dropping-particle":"","family":"Lebret","given":"Erik","non-dropping-particle":"","parse-names":false,"suffix":""},{"dropping-particle":"","family":"Brunekreef","given":"Bert","non-dropping-particle":"","parse-names":false,"suffix":""},{"dropping-particle":"","family":"Hoek","given":"Gerard","non-dropping-particle":"","parse-names":false,"suffix":""}],"container-title":"Environmental Research","id":"ITEM-2","issued":{"date-parts":[["2019"]]},"page":"108751","title":"Residential surrounding green, air pollution, traffic noise and self-perceived general health","type":"article-journal","volume":"179"},"uris":["http://www.mendeley.com/documents/?uuid=9d007e22-e914-48d2-a036-ecfc44a79d57"]}],"mendeley":{"formattedCitation":"(Klompmaker et al., 2019; Triguero-Mas et al., 2015)","plainTextFormattedCitation":"(Klompmaker et al., 2019; Triguero-Mas et al., 2015)","previouslyFormattedCitation":"(Klompmaker et al., 2019; Triguero-Mas et al., 2015)"},"properties":{"noteIndex":0},"schema":"https://github.com/citation-style-language/schema/raw/master/csl-citation.json"}</w:instrText>
      </w:r>
      <w:r w:rsidR="00F52AD0" w:rsidRPr="00436E72">
        <w:rPr>
          <w:lang w:val="en-GB"/>
        </w:rPr>
        <w:fldChar w:fldCharType="separate"/>
      </w:r>
      <w:r w:rsidR="00F52AD0" w:rsidRPr="00436E72">
        <w:rPr>
          <w:noProof/>
          <w:lang w:val="en-GB"/>
        </w:rPr>
        <w:t>(Klompmaker et al., 2019; Triguero-Mas et al., 2015)</w:t>
      </w:r>
      <w:r w:rsidR="00F52AD0" w:rsidRPr="00436E72">
        <w:rPr>
          <w:lang w:val="en-GB"/>
        </w:rPr>
        <w:fldChar w:fldCharType="end"/>
      </w:r>
      <w:r w:rsidR="00F52AD0" w:rsidRPr="00436E72">
        <w:rPr>
          <w:lang w:val="en-GB"/>
        </w:rPr>
        <w:t xml:space="preserve"> and natural cause mortality </w:t>
      </w:r>
      <w:r w:rsidR="00F52AD0" w:rsidRPr="00436E72">
        <w:rPr>
          <w:lang w:val="en-GB"/>
        </w:rPr>
        <w:fldChar w:fldCharType="begin" w:fldLock="1"/>
      </w:r>
      <w:r w:rsidR="00F52AD0" w:rsidRPr="00436E72">
        <w:rPr>
          <w:lang w:val="en-GB"/>
        </w:rPr>
        <w:instrText>ADDIN CSL_CITATION {"citationItems":[{"id":"ITEM-1","itemData":{"DOI":"10.1016/j.envint.2017.08.012","ISSN":"0160-4120","author":[{"dropping-particle":"","family":"Vienneau","given":"Danielle","non-dropping-particle":"","parse-names":false,"suffix":""},{"dropping-particle":"De","family":"Hoogh","given":"Kees","non-dropping-particle":"","parse-names":false,"suffix":""},{"dropping-particle":"","family":"Faeh","given":"David","non-dropping-particle":"","parse-names":false,"suffix":""},{"dropping-particle":"","family":"Kaufmann","given":"Marco","non-dropping-particle":"","parse-names":false,"suffix":""},{"dropping-particle":"","family":"Marc","given":"Jean","non-dropping-particle":"","parse-names":false,"suffix":""},{"dropping-particle":"","family":"Röösli","given":"Martin","non-dropping-particle":"","parse-names":false,"suffix":""},{"dropping-particle":"","family":"Snc","given":"The","non-dropping-particle":"","parse-names":false,"suffix":""},{"dropping-particle":"","family":"Group","given":"Study","non-dropping-particle":"","parse-names":false,"suffix":""}],"container-title":"Environment International","id":"ITEM-1","issue":"May","issued":{"date-parts":[["2017"]]},"page":"176-184","publisher":"Elsevier","title":"More than clean air and tranquillity : Residential green is independently associated with decreasing mortality","type":"article-journal","volume":"108"},"uris":["http://www.mendeley.com/documents/?uuid=874ebba8-39b4-4a64-b94a-6f75818a1ba8"]},{"id":"ITEM-2","itemData":{"DOI":"10.1016/S2542-5196(17)30118-3","author":[{"dropping-particle":"","family":"Crouse","given":"Dan L","non-dropping-particle":"","parse-names":false,"suffix":""},{"dropping-particle":"","family":"Pinault","given":"Lauren","non-dropping-particle":"","parse-names":false,"suffix":""},{"dropping-particle":"","family":"Balram","given":"Adele","non-dropping-particle":"","parse-names":false,"suffix":""},{"dropping-particle":"","family":"Hystad","given":"Perry","non-dropping-particle":"","parse-names":false,"suffix":""},{"dropping-particle":"","family":"Peters","given":"Paul A","non-dropping-particle":"","parse-names":false,"suffix":""},{"dropping-particle":"","family":"Chen","given":"Hong","non-dropping-particle":"","parse-names":false,"suffix":""},{"dropping-particle":"Van","family":"Donkelaar","given":"Aaron","non-dropping-particle":"","parse-names":false,"suffix":""},{"dropping-particle":"V","family":"Martin","given":"Randall","non-dropping-particle":"","parse-names":false,"suffix":""},{"dropping-particle":"","family":"Ménard","given":"Richard","non-dropping-particle":"","parse-names":false,"suffix":""},{"dropping-particle":"","family":"Robichaud","given":"Alain","non-dropping-particle":"","parse-names":false,"suffix":""},{"dropping-particle":"","family":"Villeneuve","given":"Paul J","non-dropping-particle":"","parse-names":false,"suffix":""}],"container-title":"The Lancet Planetary Health","id":"ITEM-2","issued":{"date-parts":[["2017"]]},"page":"e289-97","title":"Urban greenness and mortality in Canada ’ s largest cities : a national cohort study","type":"article-journal","volume":"1"},"uris":["http://www.mendeley.com/documents/?uuid=e5e08b31-aed3-4093-8aad-a622187a866b"]}],"mendeley":{"formattedCitation":"(Crouse et al., 2017; Vienneau et al., 2017)","plainTextFormattedCitation":"(Crouse et al., 2017; Vienneau et al., 2017)","previouslyFormattedCitation":"(Crouse et al., 2017; Vienneau et al., 2017)"},"properties":{"noteIndex":0},"schema":"https://github.com/citation-style-language/schema/raw/master/csl-citation.json"}</w:instrText>
      </w:r>
      <w:r w:rsidR="00F52AD0" w:rsidRPr="00436E72">
        <w:rPr>
          <w:lang w:val="en-GB"/>
        </w:rPr>
        <w:fldChar w:fldCharType="separate"/>
      </w:r>
      <w:r w:rsidR="00F52AD0" w:rsidRPr="00436E72">
        <w:rPr>
          <w:noProof/>
          <w:lang w:val="en-GB"/>
        </w:rPr>
        <w:t>(Crouse et al., 2017; Vienneau et al., 2017)</w:t>
      </w:r>
      <w:r w:rsidR="00F52AD0" w:rsidRPr="00436E72">
        <w:rPr>
          <w:lang w:val="en-GB"/>
        </w:rPr>
        <w:fldChar w:fldCharType="end"/>
      </w:r>
      <w:r w:rsidR="00F52AD0" w:rsidRPr="00436E72">
        <w:rPr>
          <w:lang w:val="en-GB"/>
        </w:rPr>
        <w:t>. Although the health-related effects of environmental exposures are more modest than the well-known effects of individual risk factors (such as smoking or physical activity), their importance is crucial since they affect entire populations and are easily modifiable.</w:t>
      </w:r>
    </w:p>
    <w:p w14:paraId="7E593099" w14:textId="4167A597" w:rsidR="001E68A0" w:rsidRPr="00EF489B" w:rsidRDefault="008D3F9B" w:rsidP="006F0CE5">
      <w:pPr>
        <w:rPr>
          <w:lang w:val="en-GB"/>
        </w:rPr>
      </w:pPr>
      <w:r w:rsidRPr="00EF489B">
        <w:rPr>
          <w:lang w:val="en-GB"/>
        </w:rPr>
        <w:t>The results of the intersectional analyses suggest an interaction between residential UGS, gender, education</w:t>
      </w:r>
      <w:r w:rsidR="001D6DB7" w:rsidRPr="00EF489B">
        <w:rPr>
          <w:lang w:val="en-GB"/>
        </w:rPr>
        <w:t>al attainment</w:t>
      </w:r>
      <w:r w:rsidRPr="00EF489B">
        <w:rPr>
          <w:lang w:val="en-GB"/>
        </w:rPr>
        <w:t xml:space="preserve"> and migrant background in the association with the outcomes studied.</w:t>
      </w:r>
      <w:r w:rsidR="00504D9E" w:rsidRPr="00EF489B">
        <w:rPr>
          <w:lang w:val="en-GB"/>
        </w:rPr>
        <w:t xml:space="preserve"> </w:t>
      </w:r>
      <w:r w:rsidR="00A222A2" w:rsidRPr="00EF489B">
        <w:rPr>
          <w:lang w:val="en-GB"/>
        </w:rPr>
        <w:t>For poor self-perceived</w:t>
      </w:r>
      <w:r w:rsidR="00946308" w:rsidRPr="00EF489B">
        <w:rPr>
          <w:lang w:val="en-GB"/>
        </w:rPr>
        <w:t xml:space="preserve"> health</w:t>
      </w:r>
      <w:r w:rsidR="00A222A2" w:rsidRPr="00EF489B">
        <w:rPr>
          <w:lang w:val="en-GB"/>
        </w:rPr>
        <w:t>, a</w:t>
      </w:r>
      <w:r w:rsidR="00E30D4E" w:rsidRPr="00EF489B">
        <w:rPr>
          <w:lang w:val="en-GB"/>
        </w:rPr>
        <w:t>mong women</w:t>
      </w:r>
      <w:r w:rsidR="006802AA" w:rsidRPr="00EF489B">
        <w:rPr>
          <w:lang w:val="en-GB"/>
        </w:rPr>
        <w:t xml:space="preserve">, we observed that </w:t>
      </w:r>
      <w:r w:rsidR="00BB0D69" w:rsidRPr="00EF489B">
        <w:rPr>
          <w:lang w:val="en-GB"/>
        </w:rPr>
        <w:t xml:space="preserve">the strongest beneficial associations </w:t>
      </w:r>
      <w:r w:rsidR="00BB0D69" w:rsidRPr="00EF489B">
        <w:rPr>
          <w:lang w:val="en-GB"/>
        </w:rPr>
        <w:lastRenderedPageBreak/>
        <w:t xml:space="preserve">were found </w:t>
      </w:r>
      <w:r w:rsidR="00D72F19" w:rsidRPr="00EF489B">
        <w:rPr>
          <w:lang w:val="en-GB"/>
        </w:rPr>
        <w:t>in</w:t>
      </w:r>
      <w:r w:rsidR="00BB0D69" w:rsidRPr="00EF489B">
        <w:rPr>
          <w:lang w:val="en-GB"/>
        </w:rPr>
        <w:t xml:space="preserve"> those with lower education</w:t>
      </w:r>
      <w:r w:rsidR="00A222A2" w:rsidRPr="00EF489B">
        <w:rPr>
          <w:lang w:val="en-GB"/>
        </w:rPr>
        <w:t>, for every migrant background</w:t>
      </w:r>
      <w:r w:rsidR="00E30D4E" w:rsidRPr="00EF489B">
        <w:rPr>
          <w:lang w:val="en-GB"/>
        </w:rPr>
        <w:t>.</w:t>
      </w:r>
      <w:r w:rsidR="006F1D79" w:rsidRPr="00EF489B">
        <w:rPr>
          <w:lang w:val="en-GB"/>
        </w:rPr>
        <w:t xml:space="preserve"> </w:t>
      </w:r>
      <w:r w:rsidR="006D2D5A" w:rsidRPr="00EF489B">
        <w:rPr>
          <w:lang w:val="en-GB"/>
        </w:rPr>
        <w:t>Conversely</w:t>
      </w:r>
      <w:r w:rsidR="00666DAE" w:rsidRPr="00EF489B">
        <w:rPr>
          <w:lang w:val="en-GB"/>
        </w:rPr>
        <w:t>, a</w:t>
      </w:r>
      <w:r w:rsidR="00E30D4E" w:rsidRPr="00EF489B">
        <w:rPr>
          <w:lang w:val="en-GB"/>
        </w:rPr>
        <w:t>mong</w:t>
      </w:r>
      <w:r w:rsidR="001E6C5C" w:rsidRPr="00EF489B">
        <w:rPr>
          <w:lang w:val="en-GB"/>
        </w:rPr>
        <w:t xml:space="preserve"> men, the</w:t>
      </w:r>
      <w:r w:rsidR="00D72F19" w:rsidRPr="00EF489B">
        <w:rPr>
          <w:lang w:val="en-GB"/>
        </w:rPr>
        <w:t>y</w:t>
      </w:r>
      <w:r w:rsidR="001E6C5C" w:rsidRPr="00EF489B">
        <w:rPr>
          <w:lang w:val="en-GB"/>
        </w:rPr>
        <w:t xml:space="preserve"> were found </w:t>
      </w:r>
      <w:r w:rsidR="00D72F19" w:rsidRPr="00EF489B">
        <w:rPr>
          <w:lang w:val="en-GB"/>
        </w:rPr>
        <w:t>in</w:t>
      </w:r>
      <w:r w:rsidR="001E6C5C" w:rsidRPr="00EF489B">
        <w:rPr>
          <w:lang w:val="en-GB"/>
        </w:rPr>
        <w:t xml:space="preserve"> </w:t>
      </w:r>
      <w:r w:rsidR="00D72F19" w:rsidRPr="00EF489B">
        <w:rPr>
          <w:lang w:val="en-GB"/>
        </w:rPr>
        <w:t>the</w:t>
      </w:r>
      <w:r w:rsidR="001E6C5C" w:rsidRPr="00EF489B">
        <w:rPr>
          <w:lang w:val="en-GB"/>
        </w:rPr>
        <w:t xml:space="preserve"> </w:t>
      </w:r>
      <w:r w:rsidR="00D72F19" w:rsidRPr="00EF489B">
        <w:rPr>
          <w:lang w:val="en-GB"/>
        </w:rPr>
        <w:t>tertiary educated</w:t>
      </w:r>
      <w:r w:rsidR="000F3430" w:rsidRPr="00EF489B">
        <w:rPr>
          <w:lang w:val="en-GB"/>
        </w:rPr>
        <w:t>,</w:t>
      </w:r>
      <w:r w:rsidR="00587DD2" w:rsidRPr="00EF489B">
        <w:rPr>
          <w:lang w:val="en-GB"/>
        </w:rPr>
        <w:t xml:space="preserve"> although</w:t>
      </w:r>
      <w:r w:rsidR="00C50DA5" w:rsidRPr="00EF489B">
        <w:rPr>
          <w:lang w:val="en-GB"/>
        </w:rPr>
        <w:t xml:space="preserve"> </w:t>
      </w:r>
      <w:r w:rsidR="003268D2" w:rsidRPr="00EF489B">
        <w:rPr>
          <w:lang w:val="en-GB"/>
        </w:rPr>
        <w:t>they</w:t>
      </w:r>
      <w:r w:rsidR="00587DD2" w:rsidRPr="00EF489B">
        <w:rPr>
          <w:lang w:val="en-GB"/>
        </w:rPr>
        <w:t xml:space="preserve"> were only significant in men originating from Belgium </w:t>
      </w:r>
      <w:r w:rsidR="00222045" w:rsidRPr="00EF489B">
        <w:rPr>
          <w:lang w:val="en-GB"/>
        </w:rPr>
        <w:t xml:space="preserve">and other HIC. In men </w:t>
      </w:r>
      <w:r w:rsidR="002B43F5" w:rsidRPr="00EF489B">
        <w:rPr>
          <w:lang w:val="en-GB"/>
        </w:rPr>
        <w:t xml:space="preserve">of </w:t>
      </w:r>
      <w:r w:rsidR="00222045" w:rsidRPr="00EF489B">
        <w:rPr>
          <w:lang w:val="en-GB"/>
        </w:rPr>
        <w:t xml:space="preserve">Belgian origin, </w:t>
      </w:r>
      <w:r w:rsidR="00C50DA5" w:rsidRPr="00EF489B">
        <w:rPr>
          <w:lang w:val="en-GB"/>
        </w:rPr>
        <w:t xml:space="preserve">we </w:t>
      </w:r>
      <w:r w:rsidR="0069293E" w:rsidRPr="00EF489B">
        <w:rPr>
          <w:lang w:val="en-GB"/>
        </w:rPr>
        <w:t>also found</w:t>
      </w:r>
      <w:r w:rsidR="00C50DA5" w:rsidRPr="00EF489B">
        <w:rPr>
          <w:lang w:val="en-GB"/>
        </w:rPr>
        <w:t xml:space="preserve"> protective associations in the lower educated</w:t>
      </w:r>
      <w:r w:rsidR="001E6C5C" w:rsidRPr="00EF489B">
        <w:rPr>
          <w:lang w:val="en-GB"/>
        </w:rPr>
        <w:t>.</w:t>
      </w:r>
      <w:r w:rsidR="00666DAE" w:rsidRPr="00EF489B">
        <w:rPr>
          <w:lang w:val="en-GB"/>
        </w:rPr>
        <w:t xml:space="preserve"> </w:t>
      </w:r>
      <w:r w:rsidR="004E1514" w:rsidRPr="00EF489B">
        <w:rPr>
          <w:lang w:val="en-GB"/>
        </w:rPr>
        <w:t>For</w:t>
      </w:r>
      <w:r w:rsidR="00666DAE" w:rsidRPr="00EF489B">
        <w:rPr>
          <w:lang w:val="en-GB"/>
        </w:rPr>
        <w:t xml:space="preserve"> natural cause mortality</w:t>
      </w:r>
      <w:r w:rsidR="00C75654" w:rsidRPr="00EF489B">
        <w:rPr>
          <w:lang w:val="en-GB"/>
        </w:rPr>
        <w:t>, our findings</w:t>
      </w:r>
      <w:r w:rsidR="00666DAE" w:rsidRPr="00EF489B">
        <w:rPr>
          <w:lang w:val="en-GB"/>
        </w:rPr>
        <w:t xml:space="preserve"> suggest a</w:t>
      </w:r>
      <w:r w:rsidR="004E1514" w:rsidRPr="00EF489B">
        <w:rPr>
          <w:lang w:val="en-GB"/>
        </w:rPr>
        <w:t>n additional</w:t>
      </w:r>
      <w:r w:rsidR="001A1986" w:rsidRPr="00EF489B">
        <w:rPr>
          <w:lang w:val="en-GB"/>
        </w:rPr>
        <w:t xml:space="preserve"> beneficial effect </w:t>
      </w:r>
      <w:r w:rsidR="002E4C91" w:rsidRPr="00EF489B">
        <w:rPr>
          <w:lang w:val="en-GB"/>
        </w:rPr>
        <w:t xml:space="preserve">for </w:t>
      </w:r>
      <w:r w:rsidR="000A32F4">
        <w:rPr>
          <w:lang w:val="en-GB"/>
        </w:rPr>
        <w:t xml:space="preserve">tertiary educated </w:t>
      </w:r>
      <w:r w:rsidR="002E4C91" w:rsidRPr="00EF489B">
        <w:rPr>
          <w:lang w:val="en-GB"/>
        </w:rPr>
        <w:t xml:space="preserve">women </w:t>
      </w:r>
      <w:r w:rsidR="002B43F5" w:rsidRPr="00EF489B">
        <w:rPr>
          <w:lang w:val="en-GB"/>
        </w:rPr>
        <w:t xml:space="preserve">of </w:t>
      </w:r>
      <w:r w:rsidR="002E4C91" w:rsidRPr="00EF489B">
        <w:rPr>
          <w:lang w:val="en-GB"/>
        </w:rPr>
        <w:t>Belgian origin when exposed to higher levels of surrounding greenness</w:t>
      </w:r>
      <w:r w:rsidR="009C2786" w:rsidRPr="00EF489B">
        <w:rPr>
          <w:lang w:val="en-GB"/>
        </w:rPr>
        <w:t>, and of</w:t>
      </w:r>
      <w:r w:rsidR="002E4C91" w:rsidRPr="00EF489B">
        <w:rPr>
          <w:lang w:val="en-GB"/>
        </w:rPr>
        <w:t xml:space="preserve"> </w:t>
      </w:r>
      <w:r w:rsidR="001A1986" w:rsidRPr="00EF489B">
        <w:rPr>
          <w:lang w:val="en-GB"/>
        </w:rPr>
        <w:t xml:space="preserve">residential </w:t>
      </w:r>
      <w:r w:rsidR="009C2786" w:rsidRPr="00EF489B">
        <w:rPr>
          <w:lang w:val="en-GB"/>
        </w:rPr>
        <w:t xml:space="preserve">urban </w:t>
      </w:r>
      <w:r w:rsidR="001A1986" w:rsidRPr="00EF489B">
        <w:rPr>
          <w:lang w:val="en-GB"/>
        </w:rPr>
        <w:t>green spaces</w:t>
      </w:r>
      <w:r w:rsidR="007E4678" w:rsidRPr="00EF489B">
        <w:rPr>
          <w:lang w:val="en-GB"/>
        </w:rPr>
        <w:t xml:space="preserve"> </w:t>
      </w:r>
      <w:r w:rsidR="001929C9" w:rsidRPr="00EF489B">
        <w:rPr>
          <w:lang w:val="en-GB"/>
        </w:rPr>
        <w:t>for</w:t>
      </w:r>
      <w:r w:rsidR="001A1986" w:rsidRPr="00EF489B">
        <w:rPr>
          <w:lang w:val="en-GB"/>
        </w:rPr>
        <w:t xml:space="preserve"> women </w:t>
      </w:r>
      <w:r w:rsidR="001929C9" w:rsidRPr="00EF489B">
        <w:rPr>
          <w:lang w:val="en-GB"/>
        </w:rPr>
        <w:t xml:space="preserve">originating from other HIC </w:t>
      </w:r>
      <w:r w:rsidR="00F24341" w:rsidRPr="00EF489B">
        <w:rPr>
          <w:lang w:val="en-GB"/>
        </w:rPr>
        <w:t>with</w:t>
      </w:r>
      <w:r w:rsidR="009B0A8C" w:rsidRPr="00EF489B">
        <w:rPr>
          <w:lang w:val="en-GB"/>
        </w:rPr>
        <w:t xml:space="preserve"> </w:t>
      </w:r>
      <w:r w:rsidR="001929C9" w:rsidRPr="00EF489B">
        <w:rPr>
          <w:lang w:val="en-GB"/>
        </w:rPr>
        <w:t>higher secondary education</w:t>
      </w:r>
      <w:r w:rsidR="0010620D" w:rsidRPr="00EF489B">
        <w:rPr>
          <w:lang w:val="en-GB"/>
        </w:rPr>
        <w:t>.</w:t>
      </w:r>
      <w:r w:rsidR="009A66F4" w:rsidRPr="00EF489B">
        <w:rPr>
          <w:lang w:val="en-GB"/>
        </w:rPr>
        <w:t xml:space="preserve"> </w:t>
      </w:r>
      <w:r w:rsidR="003756D2" w:rsidRPr="00EF489B">
        <w:rPr>
          <w:lang w:val="en-GB"/>
        </w:rPr>
        <w:t>No significant</w:t>
      </w:r>
      <w:r w:rsidR="009A66F4" w:rsidRPr="00EF489B">
        <w:rPr>
          <w:lang w:val="en-GB"/>
        </w:rPr>
        <w:t xml:space="preserve"> </w:t>
      </w:r>
      <w:r w:rsidR="003D4159" w:rsidRPr="00EF489B">
        <w:rPr>
          <w:lang w:val="en-GB"/>
        </w:rPr>
        <w:t xml:space="preserve">associations with natural cause mortality were </w:t>
      </w:r>
      <w:r w:rsidR="003756D2" w:rsidRPr="00EF489B">
        <w:rPr>
          <w:lang w:val="en-GB"/>
        </w:rPr>
        <w:t>found</w:t>
      </w:r>
      <w:r w:rsidR="003D4159" w:rsidRPr="00EF489B">
        <w:rPr>
          <w:lang w:val="en-GB"/>
        </w:rPr>
        <w:t xml:space="preserve"> </w:t>
      </w:r>
      <w:r w:rsidR="003756D2" w:rsidRPr="00EF489B">
        <w:rPr>
          <w:lang w:val="en-GB"/>
        </w:rPr>
        <w:t>in</w:t>
      </w:r>
      <w:r w:rsidR="003D4159" w:rsidRPr="00EF489B">
        <w:rPr>
          <w:lang w:val="en-GB"/>
        </w:rPr>
        <w:t xml:space="preserve"> LMIC-origin </w:t>
      </w:r>
      <w:r w:rsidR="00540115" w:rsidRPr="00EF489B">
        <w:rPr>
          <w:lang w:val="en-GB"/>
        </w:rPr>
        <w:t>residents</w:t>
      </w:r>
      <w:r w:rsidR="003D4159" w:rsidRPr="00EF489B">
        <w:rPr>
          <w:lang w:val="en-GB"/>
        </w:rPr>
        <w:t>.</w:t>
      </w:r>
    </w:p>
    <w:p w14:paraId="11F7349A" w14:textId="196BEAAA" w:rsidR="00E1448D" w:rsidRPr="00A858D5" w:rsidRDefault="009A2461" w:rsidP="006F0CE5">
      <w:pPr>
        <w:rPr>
          <w:lang w:val="en-GB"/>
        </w:rPr>
      </w:pPr>
      <w:r w:rsidRPr="00A858D5">
        <w:rPr>
          <w:lang w:val="en-GB"/>
        </w:rPr>
        <w:t xml:space="preserve">Intersection analyses clearly showed </w:t>
      </w:r>
      <w:r w:rsidR="008A2956" w:rsidRPr="00A858D5">
        <w:rPr>
          <w:lang w:val="en-GB"/>
        </w:rPr>
        <w:t xml:space="preserve">an </w:t>
      </w:r>
      <w:r w:rsidRPr="00A858D5">
        <w:rPr>
          <w:lang w:val="en-GB"/>
        </w:rPr>
        <w:t>interaction</w:t>
      </w:r>
      <w:r w:rsidR="00E97DBD" w:rsidRPr="00A858D5">
        <w:rPr>
          <w:lang w:val="en-GB"/>
        </w:rPr>
        <w:t xml:space="preserve"> </w:t>
      </w:r>
      <w:r w:rsidRPr="00A858D5">
        <w:rPr>
          <w:lang w:val="en-GB"/>
        </w:rPr>
        <w:t xml:space="preserve">between </w:t>
      </w:r>
      <w:r w:rsidR="007C593A" w:rsidRPr="00A858D5">
        <w:rPr>
          <w:lang w:val="en-GB"/>
        </w:rPr>
        <w:t>UGS</w:t>
      </w:r>
      <w:r w:rsidRPr="00A858D5">
        <w:rPr>
          <w:lang w:val="en-GB"/>
        </w:rPr>
        <w:t xml:space="preserve">, gender and </w:t>
      </w:r>
      <w:r w:rsidR="00C558EC" w:rsidRPr="00A858D5">
        <w:rPr>
          <w:lang w:val="en-GB"/>
        </w:rPr>
        <w:t>educational attainment</w:t>
      </w:r>
      <w:r w:rsidRPr="00A858D5">
        <w:rPr>
          <w:lang w:val="en-GB"/>
        </w:rPr>
        <w:t xml:space="preserve"> in the associations with </w:t>
      </w:r>
      <w:r w:rsidR="00D7646C" w:rsidRPr="00A858D5">
        <w:rPr>
          <w:lang w:val="en-GB"/>
        </w:rPr>
        <w:t>both</w:t>
      </w:r>
      <w:r w:rsidR="00482968" w:rsidRPr="00A858D5">
        <w:rPr>
          <w:lang w:val="en-GB"/>
        </w:rPr>
        <w:t xml:space="preserve"> </w:t>
      </w:r>
      <w:r w:rsidR="00946308" w:rsidRPr="00A858D5">
        <w:rPr>
          <w:lang w:val="en-GB"/>
        </w:rPr>
        <w:t>(</w:t>
      </w:r>
      <w:r w:rsidR="00482968" w:rsidRPr="00A858D5">
        <w:rPr>
          <w:lang w:val="en-GB"/>
        </w:rPr>
        <w:t>health</w:t>
      </w:r>
      <w:r w:rsidR="00946308" w:rsidRPr="00A858D5">
        <w:rPr>
          <w:lang w:val="en-GB"/>
        </w:rPr>
        <w:t>)</w:t>
      </w:r>
      <w:r w:rsidR="00D7646C" w:rsidRPr="00A858D5">
        <w:rPr>
          <w:lang w:val="en-GB"/>
        </w:rPr>
        <w:t xml:space="preserve"> outcomes</w:t>
      </w:r>
      <w:r w:rsidRPr="00A858D5">
        <w:rPr>
          <w:lang w:val="en-GB"/>
        </w:rPr>
        <w:t>.</w:t>
      </w:r>
      <w:r w:rsidR="00665C05" w:rsidRPr="00A858D5">
        <w:rPr>
          <w:lang w:val="en-GB"/>
        </w:rPr>
        <w:t xml:space="preserve"> </w:t>
      </w:r>
      <w:r w:rsidRPr="00A858D5">
        <w:rPr>
          <w:lang w:val="en-GB"/>
        </w:rPr>
        <w:t xml:space="preserve">As far as we </w:t>
      </w:r>
      <w:r w:rsidR="009B08F0" w:rsidRPr="00A858D5">
        <w:rPr>
          <w:lang w:val="en-GB"/>
        </w:rPr>
        <w:t>know</w:t>
      </w:r>
      <w:r w:rsidRPr="00A858D5">
        <w:rPr>
          <w:lang w:val="en-GB"/>
        </w:rPr>
        <w:t>,</w:t>
      </w:r>
      <w:r w:rsidR="009B08F0" w:rsidRPr="00A858D5">
        <w:rPr>
          <w:lang w:val="en-GB"/>
        </w:rPr>
        <w:t xml:space="preserve"> </w:t>
      </w:r>
      <w:r w:rsidR="003E0D2F" w:rsidRPr="00A858D5">
        <w:rPr>
          <w:lang w:val="en-GB"/>
        </w:rPr>
        <w:t>only</w:t>
      </w:r>
      <w:r w:rsidR="009B08F0" w:rsidRPr="00A858D5">
        <w:rPr>
          <w:lang w:val="en-GB"/>
        </w:rPr>
        <w:t xml:space="preserve"> </w:t>
      </w:r>
      <w:r w:rsidR="003E0D2F" w:rsidRPr="00A858D5">
        <w:rPr>
          <w:lang w:val="en-GB"/>
        </w:rPr>
        <w:t>one</w:t>
      </w:r>
      <w:r w:rsidRPr="00A858D5">
        <w:rPr>
          <w:lang w:val="en-GB"/>
        </w:rPr>
        <w:t xml:space="preserve"> </w:t>
      </w:r>
      <w:r w:rsidR="003E0D2F" w:rsidRPr="00A858D5">
        <w:rPr>
          <w:lang w:val="en-GB"/>
        </w:rPr>
        <w:t>study</w:t>
      </w:r>
      <w:r w:rsidR="00E03B0F" w:rsidRPr="00A858D5">
        <w:rPr>
          <w:lang w:val="en-GB"/>
        </w:rPr>
        <w:t xml:space="preserve"> focusing</w:t>
      </w:r>
      <w:r w:rsidR="003E0D2F" w:rsidRPr="00A858D5">
        <w:rPr>
          <w:lang w:val="en-GB"/>
        </w:rPr>
        <w:t xml:space="preserve"> </w:t>
      </w:r>
      <w:r w:rsidRPr="00A858D5">
        <w:rPr>
          <w:lang w:val="en-GB"/>
        </w:rPr>
        <w:t xml:space="preserve">on the relationship between </w:t>
      </w:r>
      <w:r w:rsidR="00E03B0F" w:rsidRPr="00A858D5">
        <w:rPr>
          <w:lang w:val="en-GB"/>
        </w:rPr>
        <w:t>park availability</w:t>
      </w:r>
      <w:r w:rsidRPr="00A858D5">
        <w:rPr>
          <w:lang w:val="en-GB"/>
        </w:rPr>
        <w:t xml:space="preserve"> and </w:t>
      </w:r>
      <w:r w:rsidR="00D63845" w:rsidRPr="00A858D5">
        <w:rPr>
          <w:lang w:val="en-GB"/>
        </w:rPr>
        <w:t xml:space="preserve">BMI </w:t>
      </w:r>
      <w:r w:rsidR="009C25FF" w:rsidRPr="00A858D5">
        <w:rPr>
          <w:lang w:val="en-GB"/>
        </w:rPr>
        <w:t xml:space="preserve">in </w:t>
      </w:r>
      <w:r w:rsidR="00D63845" w:rsidRPr="00A858D5">
        <w:rPr>
          <w:lang w:val="en-GB"/>
        </w:rPr>
        <w:t>children</w:t>
      </w:r>
      <w:r w:rsidR="00E03B0F" w:rsidRPr="00A858D5">
        <w:rPr>
          <w:lang w:val="en-GB"/>
        </w:rPr>
        <w:t xml:space="preserve"> </w:t>
      </w:r>
      <w:r w:rsidR="001522DD" w:rsidRPr="00A858D5">
        <w:rPr>
          <w:lang w:val="en-GB"/>
        </w:rPr>
        <w:t xml:space="preserve">has </w:t>
      </w:r>
      <w:r w:rsidRPr="00A858D5">
        <w:rPr>
          <w:lang w:val="en-GB"/>
        </w:rPr>
        <w:t>assessed the effect modification by gender and</w:t>
      </w:r>
      <w:r w:rsidR="006D260B" w:rsidRPr="00A858D5">
        <w:rPr>
          <w:lang w:val="en-GB"/>
        </w:rPr>
        <w:t xml:space="preserve"> </w:t>
      </w:r>
      <w:r w:rsidR="00773BD2" w:rsidRPr="00A858D5">
        <w:rPr>
          <w:lang w:val="en-GB"/>
        </w:rPr>
        <w:t>a</w:t>
      </w:r>
      <w:r w:rsidR="004309D4" w:rsidRPr="00A858D5">
        <w:rPr>
          <w:lang w:val="en-GB"/>
        </w:rPr>
        <w:t>n indicator of</w:t>
      </w:r>
      <w:r w:rsidR="00773BD2" w:rsidRPr="00A858D5">
        <w:rPr>
          <w:lang w:val="en-GB"/>
        </w:rPr>
        <w:t xml:space="preserve"> socioeconomic position</w:t>
      </w:r>
      <w:r w:rsidRPr="00A858D5">
        <w:rPr>
          <w:lang w:val="en-GB"/>
        </w:rPr>
        <w:t xml:space="preserve"> simultaneously</w:t>
      </w:r>
      <w:r w:rsidR="00D63845" w:rsidRPr="00A858D5">
        <w:rPr>
          <w:lang w:val="en-GB"/>
        </w:rPr>
        <w:t xml:space="preserve"> </w:t>
      </w:r>
      <w:r w:rsidR="00D63845" w:rsidRPr="00A858D5">
        <w:rPr>
          <w:lang w:val="en-GB"/>
        </w:rPr>
        <w:fldChar w:fldCharType="begin" w:fldLock="1"/>
      </w:r>
      <w:r w:rsidR="00452D47">
        <w:rPr>
          <w:lang w:val="en-GB"/>
        </w:rPr>
        <w:instrText>ADDIN CSL_CITATION {"citationItems":[{"id":"ITEM-1","itemData":{"DOI":"10.1016/j.ypmed.2016.11.024","ISSN":"0091-7435","author":[{"dropping-particle":"","family":"Hughey","given":"S Morgan","non-dropping-particle":"","parse-names":false,"suffix":""},{"dropping-particle":"","family":"Kaczynski","given":"Andrew T","non-dropping-particle":"","parse-names":false,"suffix":""},{"dropping-particle":"","family":"Child","given":"Stephanie","non-dropping-particle":"","parse-names":false,"suffix":""},{"dropping-particle":"","family":"Moore","given":"Justin B","non-dropping-particle":"","parse-names":false,"suffix":""},{"dropping-particle":"","family":"Porter","given":"Dwayne","non-dropping-particle":"","parse-names":false,"suffix":""},{"dropping-particle":"","family":"Hibbert","given":"James","non-dropping-particle":"","parse-names":false,"suffix":""}],"container-title":"Preventive Medicine","id":"ITEM-1","issued":{"date-parts":[["2017"]]},"page":"S101-S108","publisher":"Elsevier Inc.","title":"Green and lean: Is neighborhood park and playground availability associated with youth obesity? Variations by gender, socioeconomic status, and race/ethnicity","type":"article-journal","volume":"95"},"uris":["http://www.mendeley.com/documents/?uuid=21bf4c29-ab7c-49f8-a703-7845f4293fcc"]}],"mendeley":{"formattedCitation":"(Hughey et al., 2017)","plainTextFormattedCitation":"(Hughey et al., 2017)","previouslyFormattedCitation":"(Hughey et al., 2017)"},"properties":{"noteIndex":0},"schema":"https://github.com/citation-style-language/schema/raw/master/csl-citation.json"}</w:instrText>
      </w:r>
      <w:r w:rsidR="00D63845" w:rsidRPr="00A858D5">
        <w:rPr>
          <w:lang w:val="en-GB"/>
        </w:rPr>
        <w:fldChar w:fldCharType="separate"/>
      </w:r>
      <w:r w:rsidR="009F0D48" w:rsidRPr="00113E16">
        <w:rPr>
          <w:noProof/>
          <w:lang w:val="en-GB"/>
        </w:rPr>
        <w:t>(Hughey et al., 2017)</w:t>
      </w:r>
      <w:r w:rsidR="00D63845" w:rsidRPr="00A858D5">
        <w:rPr>
          <w:lang w:val="en-GB"/>
        </w:rPr>
        <w:fldChar w:fldCharType="end"/>
      </w:r>
      <w:r w:rsidRPr="00A858D5">
        <w:rPr>
          <w:lang w:val="en-GB"/>
        </w:rPr>
        <w:t>.</w:t>
      </w:r>
      <w:r w:rsidR="007548FF" w:rsidRPr="00A858D5">
        <w:rPr>
          <w:lang w:val="en-GB"/>
        </w:rPr>
        <w:t xml:space="preserve"> </w:t>
      </w:r>
      <w:r w:rsidR="00FC484C" w:rsidRPr="00A858D5">
        <w:rPr>
          <w:lang w:val="en-GB"/>
        </w:rPr>
        <w:t>Contrary to our findings</w:t>
      </w:r>
      <w:r w:rsidR="007548FF" w:rsidRPr="00A858D5">
        <w:rPr>
          <w:lang w:val="en-GB"/>
        </w:rPr>
        <w:t xml:space="preserve">, </w:t>
      </w:r>
      <w:r w:rsidR="002C0AA0" w:rsidRPr="00A858D5">
        <w:rPr>
          <w:lang w:val="en-GB"/>
        </w:rPr>
        <w:t xml:space="preserve">higher availability of parks </w:t>
      </w:r>
      <w:r w:rsidR="007678BC" w:rsidRPr="00A858D5">
        <w:rPr>
          <w:lang w:val="en-GB"/>
        </w:rPr>
        <w:t>near</w:t>
      </w:r>
      <w:r w:rsidR="002C0AA0" w:rsidRPr="00A858D5">
        <w:rPr>
          <w:lang w:val="en-GB"/>
        </w:rPr>
        <w:t xml:space="preserve"> the residence was associated with </w:t>
      </w:r>
      <w:r w:rsidR="007548FF" w:rsidRPr="00A858D5">
        <w:rPr>
          <w:lang w:val="en-GB"/>
        </w:rPr>
        <w:t>lower BMI among the low</w:t>
      </w:r>
      <w:r w:rsidR="00DF09FD" w:rsidRPr="00A858D5">
        <w:rPr>
          <w:lang w:val="en-GB"/>
        </w:rPr>
        <w:t xml:space="preserve"> SEP group of</w:t>
      </w:r>
      <w:r w:rsidR="007548FF" w:rsidRPr="00A858D5">
        <w:rPr>
          <w:lang w:val="en-GB"/>
        </w:rPr>
        <w:t xml:space="preserve"> boys,</w:t>
      </w:r>
      <w:r w:rsidR="00CA413A" w:rsidRPr="00A858D5">
        <w:rPr>
          <w:lang w:val="en-GB"/>
        </w:rPr>
        <w:t xml:space="preserve"> while among girls this was found </w:t>
      </w:r>
      <w:r w:rsidR="00DF09FD" w:rsidRPr="00A858D5">
        <w:rPr>
          <w:lang w:val="en-GB"/>
        </w:rPr>
        <w:t>in</w:t>
      </w:r>
      <w:r w:rsidR="00CA413A" w:rsidRPr="00A858D5">
        <w:rPr>
          <w:lang w:val="en-GB"/>
        </w:rPr>
        <w:t xml:space="preserve"> the</w:t>
      </w:r>
      <w:r w:rsidR="00DF09FD" w:rsidRPr="00A858D5">
        <w:rPr>
          <w:lang w:val="en-GB"/>
        </w:rPr>
        <w:t xml:space="preserve"> high SEP group.</w:t>
      </w:r>
      <w:r w:rsidR="00663DB1" w:rsidRPr="00A858D5">
        <w:rPr>
          <w:lang w:val="en-GB"/>
        </w:rPr>
        <w:t xml:space="preserve"> </w:t>
      </w:r>
      <w:r w:rsidR="00AB209F" w:rsidRPr="00A858D5">
        <w:rPr>
          <w:lang w:val="en-GB"/>
        </w:rPr>
        <w:t>Our findings</w:t>
      </w:r>
      <w:r w:rsidR="00360FD0" w:rsidRPr="00A858D5">
        <w:rPr>
          <w:lang w:val="en-GB"/>
        </w:rPr>
        <w:t xml:space="preserve"> for women</w:t>
      </w:r>
      <w:r w:rsidR="00AB209F" w:rsidRPr="00A858D5">
        <w:rPr>
          <w:lang w:val="en-GB"/>
        </w:rPr>
        <w:t xml:space="preserve"> are however in agreement with</w:t>
      </w:r>
      <w:r w:rsidR="007F5C63" w:rsidRPr="00A858D5">
        <w:rPr>
          <w:lang w:val="en-GB"/>
        </w:rPr>
        <w:t xml:space="preserve"> </w:t>
      </w:r>
      <w:r w:rsidR="00AB209F" w:rsidRPr="00A858D5">
        <w:rPr>
          <w:lang w:val="en-GB"/>
        </w:rPr>
        <w:t>t</w:t>
      </w:r>
      <w:r w:rsidR="00DF3E35" w:rsidRPr="00A858D5">
        <w:rPr>
          <w:lang w:val="en-GB"/>
        </w:rPr>
        <w:t>he existing literature</w:t>
      </w:r>
      <w:r w:rsidR="003C5B82" w:rsidRPr="00A858D5">
        <w:rPr>
          <w:lang w:val="en-GB"/>
        </w:rPr>
        <w:t xml:space="preserve"> using a</w:t>
      </w:r>
      <w:r w:rsidR="008A0477" w:rsidRPr="00A858D5">
        <w:rPr>
          <w:lang w:val="en-GB"/>
        </w:rPr>
        <w:t xml:space="preserve"> similar methodology and</w:t>
      </w:r>
      <w:r w:rsidR="00DF3E35" w:rsidRPr="00A858D5">
        <w:rPr>
          <w:lang w:val="en-GB"/>
        </w:rPr>
        <w:t xml:space="preserve"> focusing </w:t>
      </w:r>
      <w:r w:rsidR="004C649F" w:rsidRPr="00A858D5">
        <w:rPr>
          <w:lang w:val="en-GB"/>
        </w:rPr>
        <w:t>on the relationship between UGS exposure and birth outcomes</w:t>
      </w:r>
      <w:r w:rsidR="00320873" w:rsidRPr="00A858D5">
        <w:rPr>
          <w:lang w:val="en-GB"/>
        </w:rPr>
        <w:t xml:space="preserve"> </w:t>
      </w:r>
      <w:r w:rsidR="003F2E68" w:rsidRPr="00A858D5">
        <w:rPr>
          <w:lang w:val="en-GB"/>
        </w:rPr>
        <w:t>[</w:t>
      </w:r>
      <w:r w:rsidR="00320873" w:rsidRPr="00A858D5">
        <w:rPr>
          <w:lang w:val="en-GB"/>
        </w:rPr>
        <w:t>therefore</w:t>
      </w:r>
      <w:r w:rsidR="004C649F" w:rsidRPr="00A858D5">
        <w:rPr>
          <w:lang w:val="en-GB"/>
        </w:rPr>
        <w:t xml:space="preserve"> </w:t>
      </w:r>
      <w:r w:rsidR="00523536" w:rsidRPr="00A858D5">
        <w:rPr>
          <w:lang w:val="en-GB"/>
        </w:rPr>
        <w:t xml:space="preserve">including only </w:t>
      </w:r>
      <w:r w:rsidR="00C22698" w:rsidRPr="00A858D5">
        <w:rPr>
          <w:lang w:val="en-GB"/>
        </w:rPr>
        <w:t>(</w:t>
      </w:r>
      <w:r w:rsidR="00137982" w:rsidRPr="00A858D5">
        <w:rPr>
          <w:lang w:val="en-GB"/>
        </w:rPr>
        <w:t>pregnant</w:t>
      </w:r>
      <w:r w:rsidR="00C22698" w:rsidRPr="00A858D5">
        <w:rPr>
          <w:lang w:val="en-GB"/>
        </w:rPr>
        <w:t>)</w:t>
      </w:r>
      <w:r w:rsidR="00137982" w:rsidRPr="00A858D5">
        <w:rPr>
          <w:lang w:val="en-GB"/>
        </w:rPr>
        <w:t xml:space="preserve"> </w:t>
      </w:r>
      <w:r w:rsidR="00523536" w:rsidRPr="00A858D5">
        <w:rPr>
          <w:lang w:val="en-GB"/>
        </w:rPr>
        <w:t>women</w:t>
      </w:r>
      <w:r w:rsidR="003F2E68" w:rsidRPr="00A858D5">
        <w:rPr>
          <w:lang w:val="en-GB"/>
        </w:rPr>
        <w:t>]</w:t>
      </w:r>
      <w:r w:rsidR="00E4054C" w:rsidRPr="00A858D5">
        <w:rPr>
          <w:lang w:val="en-GB"/>
        </w:rPr>
        <w:t>.</w:t>
      </w:r>
      <w:r w:rsidR="006410DC" w:rsidRPr="00A858D5">
        <w:rPr>
          <w:lang w:val="en-GB"/>
        </w:rPr>
        <w:t xml:space="preserve"> </w:t>
      </w:r>
      <w:r w:rsidR="00E4054C" w:rsidRPr="00A858D5">
        <w:rPr>
          <w:lang w:val="en-GB"/>
        </w:rPr>
        <w:t>These studies have</w:t>
      </w:r>
      <w:r w:rsidR="0072635D" w:rsidRPr="00A858D5">
        <w:rPr>
          <w:lang w:val="en-GB"/>
        </w:rPr>
        <w:t xml:space="preserve"> </w:t>
      </w:r>
      <w:r w:rsidR="004957FD" w:rsidRPr="00A858D5">
        <w:rPr>
          <w:lang w:val="en-GB"/>
        </w:rPr>
        <w:t xml:space="preserve">consistently </w:t>
      </w:r>
      <w:r w:rsidR="00523536" w:rsidRPr="00A858D5">
        <w:rPr>
          <w:lang w:val="en-GB"/>
        </w:rPr>
        <w:t>found stronger beneficial effect</w:t>
      </w:r>
      <w:r w:rsidR="004957FD" w:rsidRPr="00A858D5">
        <w:rPr>
          <w:lang w:val="en-GB"/>
        </w:rPr>
        <w:t>s</w:t>
      </w:r>
      <w:r w:rsidR="00523536" w:rsidRPr="00A858D5">
        <w:rPr>
          <w:lang w:val="en-GB"/>
        </w:rPr>
        <w:t xml:space="preserve"> of green spaces </w:t>
      </w:r>
      <w:r w:rsidR="00D75A13" w:rsidRPr="00A858D5">
        <w:rPr>
          <w:lang w:val="en-GB"/>
        </w:rPr>
        <w:t xml:space="preserve">on several outcomes </w:t>
      </w:r>
      <w:r w:rsidR="00CC4153" w:rsidRPr="00A858D5">
        <w:rPr>
          <w:lang w:val="en-GB"/>
        </w:rPr>
        <w:t>in</w:t>
      </w:r>
      <w:r w:rsidR="00523536" w:rsidRPr="00A858D5">
        <w:rPr>
          <w:lang w:val="en-GB"/>
        </w:rPr>
        <w:t xml:space="preserve"> </w:t>
      </w:r>
      <w:r w:rsidR="002D2089" w:rsidRPr="00A858D5">
        <w:rPr>
          <w:lang w:val="en-GB"/>
        </w:rPr>
        <w:t xml:space="preserve">the </w:t>
      </w:r>
      <w:r w:rsidR="00486705" w:rsidRPr="00A858D5">
        <w:rPr>
          <w:lang w:val="en-GB"/>
        </w:rPr>
        <w:t xml:space="preserve">low-educated </w:t>
      </w:r>
      <w:r w:rsidR="00523536" w:rsidRPr="00A858D5">
        <w:rPr>
          <w:lang w:val="en-GB"/>
        </w:rPr>
        <w:fldChar w:fldCharType="begin" w:fldLock="1"/>
      </w:r>
      <w:r w:rsidR="00452D47">
        <w:rPr>
          <w:lang w:val="en-GB"/>
        </w:rPr>
        <w:instrText>ADDIN CSL_CITATION {"citationItems":[{"id":"ITEM-1","itemData":{"DOI":"10.1016/j.envint.2011.07.004","ISSN":"0160-4120","author":[{"dropping-particle":"","family":"Dadvand","given":"Payam","non-dropping-particle":"","parse-names":false,"suffix":""},{"dropping-particle":"","family":"Nazelle","given":"Audrey","non-dropping-particle":"de","parse-names":false,"suffix":""},{"dropping-particle":"","family":"Figueras","given":"Francesc","non-dropping-particle":"","parse-names":false,"suffix":""},{"dropping-particle":"","family":"Basagaña","given":"Xavier","non-dropping-particle":"","parse-names":false,"suffix":""},{"dropping-particle":"","family":"Su","given":"Jason","non-dropping-particle":"","parse-names":false,"suffix":""},{"dropping-particle":"","family":"Amoly","given":"Elmira","non-dropping-particle":"","parse-names":false,"suffix":""},{"dropping-particle":"","family":"Jerrett","given":"Michael","non-dropping-particle":"","parse-names":false,"suffix":""},{"dropping-particle":"","family":"Vrijheid","given":"Martine","non-dropping-particle":"","parse-names":false,"suffix":""},{"dropping-particle":"","family":"Sunyer","given":"Jordi","non-dropping-particle":"","parse-names":false,"suffix":""},{"dropping-particle":"","family":"Nieuwenhuijsen","given":"Mark J","non-dropping-particle":"","parse-names":false,"suffix":""}],"container-title":"Environment International","id":"ITEM-1","issued":{"date-parts":[["2012"]]},"page":"110-115","publisher":"Elsevier Ltd","title":"Green space, health inequality and pregnancy","type":"article-journal","volume":"40"},"uris":["http://www.mendeley.com/documents/?uuid=3a7339ec-4577-4f5e-a673-251191cd880f"]},{"id":"ITEM-2","itemData":{"author":[{"dropping-particle":"","family":"Dadvand","given":"Payam","non-dropping-particle":"","parse-names":false,"suffix":""},{"dropping-particle":"","family":"Sunyer","given":"Jordi","non-dropping-particle":"","parse-names":false,"suffix":""},{"dropping-particle":"","family":"Basagaña","given":"Xavier","non-dropping-particle":"","parse-names":false,"suffix":""},{"dropping-particle":"","family":"Ballester","given":"Ferran","non-dropping-particle":"","parse-names":false,"suffix":""},{"dropping-particle":"","family":"Lertxundi","given":"Aitana","non-dropping-particle":"","parse-names":false,"suffix":""},{"dropping-particle":"","family":"Fernández-Somoano","given":"Ana","non-dropping-particle":"","parse-names":false,"suffix":""},{"dropping-particle":"","family":"Estarlich","given":"Marisa","non-dropping-particle":"","parse-names":false,"suffix":""},{"dropping-particle":"","family":"García-Esteban","given":"Raquel","non-dropping-particle":"","parse-names":false,"suffix":""},{"dropping-particle":"","family":"Méndez","given":"Michelle A","non-dropping-particle":"","parse-names":false,"suffix":""},{"dropping-particle":"","family":"Nieuwenhuijsen","given":"Mark J","non-dropping-particle":"","parse-names":false,"suffix":""}],"container-title":"Environmental Health Perspectives","id":"ITEM-2","issue":"10","issued":{"date-parts":[["2012"]]},"page":"1481-1487","title":"Surrounding Greenness and Pregnancy Outcomes in Four Spanish Birth Cohorts","type":"article-journal","volume":"120"},"uris":["http://www.mendeley.com/documents/?uuid=3c685a56-b62e-4bdb-8d4e-79c5ccba5e7e"]},{"id":"ITEM-3","itemData":{"DOI":"10.1016/j.envint.2014.06.010","author":[{"dropping-particle":"","family":"Dadvand","given":"Payam","non-dropping-particle":"","parse-names":false,"suffix":""},{"dropping-particle":"","family":"Wright","given":"John","non-dropping-particle":"","parse-names":false,"suffix":""},{"dropping-particle":"","family":"Martinez","given":"David","non-dropping-particle":"","parse-names":false,"suffix":""},{"dropping-particle":"","family":"Basagaña","given":"Xavier","non-dropping-particle":"","parse-names":false,"suffix":""},{"dropping-particle":"","family":"Mceachan","given":"Rosemary R C","non-dropping-particle":"","parse-names":false,"suffix":""},{"dropping-particle":"","family":"Cirach","given":"Marta","non-dropping-particle":"","parse-names":false,"suffix":""},{"dropping-particle":"","family":"Gidlow","given":"Christopher J","non-dropping-particle":"","parse-names":false,"suffix":""},{"dropping-particle":"De","family":"Hoogh","given":"Kees","non-dropping-particle":"","parse-names":false,"suffix":""},{"dropping-particle":"","family":"Gra","given":"Regina","non-dropping-particle":"","parse-names":false,"suffix":""},{"dropping-particle":"","family":"Nieuwenhuijsen","given":"Mark J","non-dropping-particle":"","parse-names":false,"suffix":""}],"container-title":"Environment International","id":"ITEM-3","issued":{"date-parts":[["2014"]]},"page":"101-108","title":"Inequality, green spaces, and pregnant women: Roles of ethnicity and individual and neighbourhood socioeconomic status","type":"article-journal","volume":"71"},"uris":["http://www.mendeley.com/documents/?uuid=4344ce01-3d4d-44c8-962e-4e7e5203884a"]},{"id":"ITEM-4","itemData":{"DOI":"10.1136/jech-2015-205954","author":[{"dropping-particle":"","family":"McEachan","given":"Rosemary R C","non-dropping-particle":"","parse-names":false,"suffix":""},{"dropping-particle":"","family":"Prady","given":"S L","non-dropping-particle":"","parse-names":false,"suffix":""},{"dropping-particle":"","family":"Smith","given":"G","non-dropping-particle":"","parse-names":false,"suffix":""},{"dropping-particle":"","family":"Fairley","given":"L","non-dropping-particle":"","parse-names":false,"suffix":""},{"dropping-particle":"","family":"Cabieses","given":"B","non-dropping-particle":"","parse-names":false,"suffix":""},{"dropping-particle":"","family":"Gidlow","given":"C","non-dropping-particle":"","parse-names":false,"suffix":""},{"dropping-particle":"","family":"Wright","given":"J","non-dropping-particle":"","parse-names":false,"suffix":""},{"dropping-particle":"","family":"Dadvand","given":"P","non-dropping-particle":"","parse-names":false,"suffix":""},{"dropping-particle":"Van","family":"Gent","given":"D","non-dropping-particle":"","parse-names":false,"suffix":""},{"dropping-particle":"","family":"Nieuwenhuijsen","given":"M J","non-dropping-particle":"","parse-names":false,"suffix":""},{"dropping-particle":"","family":"Royal","given":"Bradford","non-dropping-particle":"","parse-names":false,"suffix":""}],"container-title":"Journal of Epidemiology &amp; Community Health","id":"ITEM-4","issued":{"date-parts":[["2016"]]},"page":"253-259","title":"The association between green space and depressive symptoms in pregnant women : moderating roles of socioeconomic status and physical activity","type":"article-journal","volume":"70"},"uris":["http://www.mendeley.com/documents/?uuid=f6124147-4e1a-4796-b7e8-266fc9bb01ec"]}],"mendeley":{"formattedCitation":"(Dadvand et al., 2014, 2012a, 2012b; McEachan et al., 2016)","plainTextFormattedCitation":"(Dadvand et al., 2014, 2012a, 2012b; McEachan et al., 2016)","previouslyFormattedCitation":"(Dadvand et al., 2014, 2012a, 2012b; McEachan et al., 2016)"},"properties":{"noteIndex":0},"schema":"https://github.com/citation-style-language/schema/raw/master/csl-citation.json"}</w:instrText>
      </w:r>
      <w:r w:rsidR="00523536" w:rsidRPr="00A858D5">
        <w:rPr>
          <w:lang w:val="en-GB"/>
        </w:rPr>
        <w:fldChar w:fldCharType="separate"/>
      </w:r>
      <w:r w:rsidR="00113E16" w:rsidRPr="00113E16">
        <w:rPr>
          <w:noProof/>
          <w:lang w:val="en-GB"/>
        </w:rPr>
        <w:t>(Dadvand et al., 2014, 2012a, 2012b; McEachan et al., 2016)</w:t>
      </w:r>
      <w:r w:rsidR="00523536" w:rsidRPr="00A858D5">
        <w:rPr>
          <w:lang w:val="en-GB"/>
        </w:rPr>
        <w:fldChar w:fldCharType="end"/>
      </w:r>
      <w:r w:rsidR="00523536" w:rsidRPr="00A858D5">
        <w:rPr>
          <w:lang w:val="en-GB"/>
        </w:rPr>
        <w:t>.</w:t>
      </w:r>
      <w:r w:rsidR="0072635D" w:rsidRPr="00A858D5">
        <w:rPr>
          <w:lang w:val="en-GB"/>
        </w:rPr>
        <w:t xml:space="preserve"> </w:t>
      </w:r>
      <w:r w:rsidR="004B5C91" w:rsidRPr="00A858D5">
        <w:rPr>
          <w:lang w:val="en-GB"/>
        </w:rPr>
        <w:t xml:space="preserve">In a recent review, </w:t>
      </w:r>
      <w:r w:rsidR="0052659C" w:rsidRPr="00A858D5">
        <w:rPr>
          <w:color w:val="000000" w:themeColor="text1"/>
          <w:lang w:val="en-GB"/>
        </w:rPr>
        <w:fldChar w:fldCharType="begin" w:fldLock="1"/>
      </w:r>
      <w:r w:rsidR="00452D47">
        <w:rPr>
          <w:color w:val="000000" w:themeColor="text1"/>
          <w:lang w:val="en-GB"/>
        </w:rPr>
        <w:instrText>ADDIN CSL_CITATION {"citationItems":[{"id":"ITEM-1","itemData":{"DOI":"10.1097/EDE.0000000000000549","ISBN":"0000000000000","author":[{"dropping-particle":"","family":"Nieuwenhuijsen","given":"Mark J","non-dropping-particle":"","parse-names":false,"suffix":""},{"dropping-particle":"","family":"Khreis","given":"Haneen","non-dropping-particle":"","parse-names":false,"suffix":""},{"dropping-particle":"","family":"Triguero-Mas","given":"Margarita","non-dropping-particle":"","parse-names":false,"suffix":""},{"dropping-particle":"","family":"Gascon","given":"Mireia","non-dropping-particle":"","parse-names":false,"suffix":""},{"dropping-particle":"","family":"Dadvand","given":"Payam","non-dropping-particle":"","parse-names":false,"suffix":""}],"container-title":"Epidemiology","id":"ITEM-1","issue":"1","issued":{"date-parts":[["2017"]]},"page":"63-71","title":"Fifty Shades of Green. Pathway to Healthy Urban Living.","type":"article-journal","volume":"28"},"uris":["http://www.mendeley.com/documents/?uuid=50dae047-4b41-4632-909a-c168c7b0aefa"]}],"mendeley":{"formattedCitation":"(Nieuwenhuijsen et al., 2017)","plainTextFormattedCitation":"(Nieuwenhuijsen et al., 2017)","previouslyFormattedCitation":"(Nieuwenhuijsen et al., 2017)"},"properties":{"noteIndex":0},"schema":"https://github.com/citation-style-language/schema/raw/master/csl-citation.json"}</w:instrText>
      </w:r>
      <w:r w:rsidR="0052659C" w:rsidRPr="00A858D5">
        <w:rPr>
          <w:color w:val="000000" w:themeColor="text1"/>
          <w:lang w:val="en-GB"/>
        </w:rPr>
        <w:fldChar w:fldCharType="separate"/>
      </w:r>
      <w:r w:rsidR="0052659C" w:rsidRPr="00113E16">
        <w:rPr>
          <w:noProof/>
          <w:color w:val="000000" w:themeColor="text1"/>
          <w:lang w:val="en-GB"/>
        </w:rPr>
        <w:t>(Nieuwenhuijsen et al., 2017)</w:t>
      </w:r>
      <w:r w:rsidR="0052659C" w:rsidRPr="00A858D5">
        <w:rPr>
          <w:color w:val="000000" w:themeColor="text1"/>
          <w:lang w:val="en-GB"/>
        </w:rPr>
        <w:fldChar w:fldCharType="end"/>
      </w:r>
      <w:r w:rsidR="0052659C" w:rsidRPr="00A858D5">
        <w:rPr>
          <w:rStyle w:val="CommentReference"/>
          <w:lang w:val="en-GB"/>
        </w:rPr>
        <w:t xml:space="preserve"> </w:t>
      </w:r>
      <w:r w:rsidR="004B5C91" w:rsidRPr="00A858D5">
        <w:rPr>
          <w:lang w:val="en-GB"/>
        </w:rPr>
        <w:t xml:space="preserve">highlighted </w:t>
      </w:r>
      <w:r w:rsidR="009B0131" w:rsidRPr="00A858D5">
        <w:rPr>
          <w:lang w:val="en-GB"/>
        </w:rPr>
        <w:t>that</w:t>
      </w:r>
      <w:r w:rsidR="004B5C91" w:rsidRPr="00A858D5">
        <w:rPr>
          <w:lang w:val="en-GB"/>
        </w:rPr>
        <w:t xml:space="preserve"> low SEP groups and women</w:t>
      </w:r>
      <w:r w:rsidR="009B0131" w:rsidRPr="00A858D5">
        <w:rPr>
          <w:lang w:val="en-GB"/>
        </w:rPr>
        <w:t xml:space="preserve"> </w:t>
      </w:r>
      <w:r w:rsidR="0000223B" w:rsidRPr="00A858D5">
        <w:rPr>
          <w:lang w:val="en-GB"/>
        </w:rPr>
        <w:t xml:space="preserve">might </w:t>
      </w:r>
      <w:r w:rsidR="009B0131" w:rsidRPr="00A858D5">
        <w:rPr>
          <w:lang w:val="en-GB"/>
        </w:rPr>
        <w:t>benefit more</w:t>
      </w:r>
      <w:r w:rsidR="00BB076B" w:rsidRPr="00A858D5">
        <w:rPr>
          <w:lang w:val="en-GB"/>
        </w:rPr>
        <w:t xml:space="preserve"> from green spaces</w:t>
      </w:r>
      <w:r w:rsidR="009B0131" w:rsidRPr="00A858D5">
        <w:rPr>
          <w:lang w:val="en-GB"/>
        </w:rPr>
        <w:t xml:space="preserve"> than </w:t>
      </w:r>
      <w:r w:rsidR="00436FAC" w:rsidRPr="00A858D5">
        <w:rPr>
          <w:lang w:val="en-GB"/>
        </w:rPr>
        <w:t>other social groups</w:t>
      </w:r>
      <w:r w:rsidR="0052659C" w:rsidRPr="00A858D5">
        <w:rPr>
          <w:lang w:val="en-GB"/>
        </w:rPr>
        <w:t>.</w:t>
      </w:r>
      <w:r w:rsidR="001C2339" w:rsidRPr="00A858D5">
        <w:rPr>
          <w:color w:val="000000" w:themeColor="text1"/>
          <w:lang w:val="en-GB"/>
        </w:rPr>
        <w:t xml:space="preserve"> </w:t>
      </w:r>
      <w:r w:rsidR="00635CA4" w:rsidRPr="00A858D5">
        <w:rPr>
          <w:color w:val="000000" w:themeColor="text1"/>
          <w:lang w:val="en-GB"/>
        </w:rPr>
        <w:t>Interestingly, in our study, this pattern was consistent in every migrant background, which could indicate that, in Brussels, the beneficial effects of green spaces on health among women with lower education do not depend on cultural differences in uses or attitudes towards UGS.</w:t>
      </w:r>
      <w:r w:rsidR="00A72135" w:rsidRPr="00A858D5">
        <w:rPr>
          <w:color w:val="000000" w:themeColor="text1"/>
          <w:lang w:val="en-GB"/>
        </w:rPr>
        <w:t xml:space="preserve"> </w:t>
      </w:r>
      <w:r w:rsidR="00701C17" w:rsidRPr="00A858D5">
        <w:rPr>
          <w:lang w:val="en-GB"/>
        </w:rPr>
        <w:t>Women</w:t>
      </w:r>
      <w:r w:rsidR="000513C2" w:rsidRPr="00A858D5">
        <w:rPr>
          <w:lang w:val="en-GB"/>
        </w:rPr>
        <w:t xml:space="preserve"> </w:t>
      </w:r>
      <w:r w:rsidR="006767B6" w:rsidRPr="00A858D5">
        <w:rPr>
          <w:lang w:val="en-GB"/>
        </w:rPr>
        <w:t>in a</w:t>
      </w:r>
      <w:r w:rsidR="000513C2" w:rsidRPr="00A858D5">
        <w:rPr>
          <w:lang w:val="en-GB"/>
        </w:rPr>
        <w:t xml:space="preserve"> low socioeconomic position</w:t>
      </w:r>
      <w:r w:rsidR="006B5D9C" w:rsidRPr="00A858D5">
        <w:rPr>
          <w:lang w:val="en-GB"/>
        </w:rPr>
        <w:t xml:space="preserve"> </w:t>
      </w:r>
      <w:r w:rsidR="0053787D" w:rsidRPr="00A858D5">
        <w:rPr>
          <w:lang w:val="en-GB"/>
        </w:rPr>
        <w:t xml:space="preserve">might rely to a greater extent on local resources and nearby social contacts, being more susceptible to contextual factors </w:t>
      </w:r>
      <w:r w:rsidR="0053787D" w:rsidRPr="00A858D5">
        <w:rPr>
          <w:lang w:val="en-GB"/>
        </w:rPr>
        <w:fldChar w:fldCharType="begin" w:fldLock="1"/>
      </w:r>
      <w:r w:rsidR="00452D47">
        <w:rPr>
          <w:lang w:val="en-GB"/>
        </w:rPr>
        <w:instrText>ADDIN CSL_CITATION {"citationItems":[{"id":"ITEM-1","itemData":{"DOI":"10.1016/j.socscimed.2004.08.028","author":[{"dropping-particle":"","family":"Stafford","given":"M","non-dropping-particle":"","parse-names":false,"suffix":""},{"dropping-particle":"","family":"Cummins","given":"S","non-dropping-particle":"","parse-names":false,"suffix":""},{"dropping-particle":"","family":"Macintyre","given":"S","non-dropping-particle":"","parse-names":false,"suffix":""},{"dropping-particle":"","family":"Ellaway","given":"A","non-dropping-particle":"","parse-names":false,"suffix":""},{"dropping-particle":"","family":"Marmot","given":"M","non-dropping-particle":"","parse-names":false,"suffix":""}],"container-title":"Social Science &amp; Medicine","id":"ITEM-1","issued":{"date-parts":[["2005"]]},"page":"1681-1692","title":"Gender differences in the associations between health and neighbourhood environment","type":"article-journal","volume":"60"},"uris":["http://www.mendeley.com/documents/?uuid=c1c3ffba-0e2f-430d-adf1-1f1ac4439fb2"]}],"mendeley":{"formattedCitation":"(Stafford et al., 2005)","plainTextFormattedCitation":"(Stafford et al., 2005)","previouslyFormattedCitation":"(Stafford et al., 2005)"},"properties":{"noteIndex":0},"schema":"https://github.com/citation-style-language/schema/raw/master/csl-citation.json"}</w:instrText>
      </w:r>
      <w:r w:rsidR="0053787D" w:rsidRPr="00A858D5">
        <w:rPr>
          <w:lang w:val="en-GB"/>
        </w:rPr>
        <w:fldChar w:fldCharType="separate"/>
      </w:r>
      <w:r w:rsidR="0053787D" w:rsidRPr="00113E16">
        <w:rPr>
          <w:noProof/>
          <w:lang w:val="en-GB"/>
        </w:rPr>
        <w:t>(Stafford et al., 2005)</w:t>
      </w:r>
      <w:r w:rsidR="0053787D" w:rsidRPr="00A858D5">
        <w:rPr>
          <w:lang w:val="en-GB"/>
        </w:rPr>
        <w:fldChar w:fldCharType="end"/>
      </w:r>
      <w:r w:rsidR="0053787D" w:rsidRPr="00A858D5">
        <w:rPr>
          <w:lang w:val="en-GB"/>
        </w:rPr>
        <w:t>.</w:t>
      </w:r>
      <w:r w:rsidR="00A53081" w:rsidRPr="00A858D5">
        <w:rPr>
          <w:lang w:val="en-GB"/>
        </w:rPr>
        <w:t xml:space="preserve"> In parallel</w:t>
      </w:r>
      <w:r w:rsidR="00371F26" w:rsidRPr="00A858D5">
        <w:rPr>
          <w:lang w:val="en-GB"/>
        </w:rPr>
        <w:t>, they</w:t>
      </w:r>
      <w:r w:rsidR="00FD07B8" w:rsidRPr="00A858D5">
        <w:rPr>
          <w:lang w:val="en-GB"/>
        </w:rPr>
        <w:t xml:space="preserve"> </w:t>
      </w:r>
      <w:r w:rsidR="0053787D" w:rsidRPr="00A858D5">
        <w:rPr>
          <w:lang w:val="en-GB"/>
        </w:rPr>
        <w:t xml:space="preserve">usually spend more time in and around the house, resulting in a higher exposition to residential green spaces </w:t>
      </w:r>
      <w:r w:rsidR="0053787D" w:rsidRPr="00A858D5">
        <w:rPr>
          <w:lang w:val="en-GB"/>
        </w:rPr>
        <w:fldChar w:fldCharType="begin" w:fldLock="1"/>
      </w:r>
      <w:r w:rsidR="00EB5AA3">
        <w:rPr>
          <w:lang w:val="en-GB"/>
        </w:rPr>
        <w:instrText>ADDIN CSL_CITATION {"citationItems":[{"id":"ITEM-1","itemData":{"DOI":"10.1068/a35111","author":[{"dropping-particle":"","family":"Vries","given":"Sjerp","non-dropping-particle":"de","parse-names":false,"suffix":""},{"dropping-particle":"","family":"Verheij","given":"Robert A","non-dropping-particle":"","parse-names":false,"suffix":""},{"dropping-particle":"","family":"Groenewegen","given":"Peter P","non-dropping-particle":"","parse-names":false,"suffix":""},{"dropping-particle":"","family":"Spreeuwenberg","given":"Peter","non-dropping-particle":"","parse-names":false,"suffix":""}],"container-title":"Environment and Planning A: Economy and Space","id":"ITEM-1","issue":"10","issued":{"date-parts":[["2003"]]},"page":"1717-1731","title":"Natural environments - healthy environments ? An exploratory analysis of the relationship between greenspace and health","type":"article-journal","volume":"35"},"uris":["http://www.mendeley.com/documents/?uuid=211d0209-c4c5-4939-a5c6-c11f4f2bd58a"]},{"id":"ITEM-2","itemData":{"DOI":"10.1136/jech.2008.079038","author":[{"dropping-particle":"","family":"Maas","given":"J","non-dropping-particle":"","parse-names":false,"suffix":""},{"dropping-particle":"","family":"Verheij","given":"R A","non-dropping-particle":"","parse-names":false,"suffix":""},{"dropping-particle":"De","family":"Vries","given":"S","non-dropping-particle":"","parse-names":false,"suffix":""},{"dropping-particle":"","family":"Spreeuwenberg","given":"P","non-dropping-particle":"","parse-names":false,"suffix":""},{"dropping-particle":"","family":"Schellevis","given":"F G","non-dropping-particle":"","parse-names":false,"suffix":""},{"dropping-particle":"","family":"Groenewegen","given":"P P","non-dropping-particle":"","parse-names":false,"suffix":""}],"container-title":"Journal of Epidemiology &amp; Community Health","id":"ITEM-2","issued":{"date-parts":[["2009"]]},"page":"967-973","title":"Morbidity is related to a green living environment","type":"article-journal","volume":"63"},"uris":["http://www.mendeley.com/documents/?uuid=a1409fa3-6f82-40c5-b03d-222fdaab4c31"]}],"mendeley":{"formattedCitation":"(de Vries et al., 2003; Maas et al., 2009)","plainTextFormattedCitation":"(de Vries et al., 2003; Maas et al., 2009)","previouslyFormattedCitation":"(De Vries et al., 2003; Maas et al., 2009)"},"properties":{"noteIndex":0},"schema":"https://github.com/citation-style-language/schema/raw/master/csl-citation.json"}</w:instrText>
      </w:r>
      <w:r w:rsidR="0053787D" w:rsidRPr="00A858D5">
        <w:rPr>
          <w:lang w:val="en-GB"/>
        </w:rPr>
        <w:fldChar w:fldCharType="separate"/>
      </w:r>
      <w:r w:rsidR="00EB5AA3" w:rsidRPr="00EB5AA3">
        <w:rPr>
          <w:noProof/>
          <w:lang w:val="en-GB"/>
        </w:rPr>
        <w:t>(de Vries et al., 2003; Maas et al., 2009)</w:t>
      </w:r>
      <w:r w:rsidR="0053787D" w:rsidRPr="00A858D5">
        <w:rPr>
          <w:lang w:val="en-GB"/>
        </w:rPr>
        <w:fldChar w:fldCharType="end"/>
      </w:r>
      <w:r w:rsidR="0053787D" w:rsidRPr="00A858D5">
        <w:rPr>
          <w:lang w:val="en-GB"/>
        </w:rPr>
        <w:t>.</w:t>
      </w:r>
    </w:p>
    <w:p w14:paraId="4A7C4B2C" w14:textId="31DE60D1" w:rsidR="00521E54" w:rsidRPr="00A858D5" w:rsidRDefault="00521E54" w:rsidP="006F0CE5">
      <w:pPr>
        <w:rPr>
          <w:lang w:val="en-GB"/>
        </w:rPr>
      </w:pPr>
      <w:r w:rsidRPr="00A858D5">
        <w:rPr>
          <w:lang w:val="en-GB"/>
        </w:rPr>
        <w:t xml:space="preserve">We found a significant decreased risk of natural cause mortality with surrounding greenness – but not with perceived neighbourhood greenness – among women with tertiary education originating from Belgium. This association was no longer significant when excluding residents with a private garden. Because surrounding greenness is an unspecific indicator of green, it is hard to discern which type of green is explaining the observed beneficial associations with health. Comparatively, perceived neighbourhood greenness might also capture other characteristics of the residential environment, such as walkability or perceived safety, which may play a role in the relationship with health </w:t>
      </w:r>
      <w:r w:rsidRPr="00A858D5">
        <w:rPr>
          <w:lang w:val="en-GB"/>
        </w:rPr>
        <w:fldChar w:fldCharType="begin" w:fldLock="1"/>
      </w:r>
      <w:r w:rsidR="00452D47">
        <w:rPr>
          <w:lang w:val="en-GB"/>
        </w:rPr>
        <w:instrText>ADDIN CSL_CITATION {"citationItems":[{"id":"ITEM-1","itemData":{"DOI":"10.1136/jech.2007.064287","author":[{"dropping-particle":"","family":"Sugiyama","given":"Takemi","non-dropping-particle":"","parse-names":false,"suffix":""},{"dropping-particle":"","family":"Leslie","given":"E","non-dropping-particle":"","parse-names":false,"suffix":""},{"dropping-particle":"","family":"Owen","given":"N","non-dropping-particle":"","parse-names":false,"suffix":""}],"container-title":"J Epidemiol Community Health","id":"ITEM-1","issued":{"date-parts":[["2008"]]},"page":"e9","title":"Associations of neighbourhood greenness with physical and mental health : do walking , social coherence and local social interaction explain the relationships ?","type":"article-journal","volume":"62"},"uris":["http://www.mendeley.com/documents/?uuid=82a94f3f-2167-4751-843e-b7d6425a7a53"]}],"mendeley":{"formattedCitation":"(Sugiyama et al., 2008)","plainTextFormattedCitation":"(Sugiyama et al., 2008)","previouslyFormattedCitation":"(Sugiyama et al., 2008)"},"properties":{"noteIndex":0},"schema":"https://github.com/citation-style-language/schema/raw/master/csl-citation.json"}</w:instrText>
      </w:r>
      <w:r w:rsidRPr="00A858D5">
        <w:rPr>
          <w:lang w:val="en-GB"/>
        </w:rPr>
        <w:fldChar w:fldCharType="separate"/>
      </w:r>
      <w:r w:rsidR="00113E16" w:rsidRPr="00113E16">
        <w:rPr>
          <w:noProof/>
          <w:lang w:val="en-GB"/>
        </w:rPr>
        <w:t>(Sugiyama et al., 2008)</w:t>
      </w:r>
      <w:r w:rsidRPr="00A858D5">
        <w:rPr>
          <w:lang w:val="en-GB"/>
        </w:rPr>
        <w:fldChar w:fldCharType="end"/>
      </w:r>
      <w:r w:rsidRPr="00A858D5">
        <w:rPr>
          <w:lang w:val="en-GB"/>
        </w:rPr>
        <w:t>. Using subjective indicators of green spaces in addition to the objective ones might help to better understand which groups benefit the most from living near green spaces and map out health inequalities.</w:t>
      </w:r>
    </w:p>
    <w:p w14:paraId="4A0A1638" w14:textId="03837753" w:rsidR="009E7592" w:rsidRPr="00A858D5" w:rsidRDefault="00F205CE" w:rsidP="006F0CE5">
      <w:pPr>
        <w:rPr>
          <w:color w:val="000000" w:themeColor="text1"/>
          <w:lang w:val="en-GB"/>
        </w:rPr>
      </w:pPr>
      <w:r w:rsidRPr="00A858D5">
        <w:rPr>
          <w:color w:val="000000" w:themeColor="text1"/>
          <w:lang w:val="en-GB"/>
        </w:rPr>
        <w:t>An opposite trend was observed</w:t>
      </w:r>
      <w:r w:rsidR="00FB3EE9" w:rsidRPr="00A858D5">
        <w:rPr>
          <w:color w:val="000000" w:themeColor="text1"/>
          <w:lang w:val="en-GB"/>
        </w:rPr>
        <w:t xml:space="preserve"> </w:t>
      </w:r>
      <w:r w:rsidRPr="00A858D5">
        <w:rPr>
          <w:color w:val="000000" w:themeColor="text1"/>
          <w:lang w:val="en-GB"/>
        </w:rPr>
        <w:t>for</w:t>
      </w:r>
      <w:r w:rsidR="003E4F1B" w:rsidRPr="00A858D5">
        <w:rPr>
          <w:color w:val="000000" w:themeColor="text1"/>
          <w:lang w:val="en-GB"/>
        </w:rPr>
        <w:t xml:space="preserve"> men</w:t>
      </w:r>
      <w:r w:rsidR="00721E3C" w:rsidRPr="00A858D5">
        <w:rPr>
          <w:color w:val="000000" w:themeColor="text1"/>
          <w:lang w:val="en-GB"/>
        </w:rPr>
        <w:t>, although</w:t>
      </w:r>
      <w:r w:rsidR="00533D2E" w:rsidRPr="00A858D5">
        <w:rPr>
          <w:color w:val="000000" w:themeColor="text1"/>
          <w:lang w:val="en-GB"/>
        </w:rPr>
        <w:t xml:space="preserve"> we d</w:t>
      </w:r>
      <w:r w:rsidR="00253866" w:rsidRPr="00A858D5">
        <w:rPr>
          <w:color w:val="000000" w:themeColor="text1"/>
          <w:lang w:val="en-GB"/>
        </w:rPr>
        <w:t>id find beneficial associations</w:t>
      </w:r>
      <w:r w:rsidR="001E41ED">
        <w:rPr>
          <w:color w:val="000000" w:themeColor="text1"/>
          <w:lang w:val="en-GB"/>
        </w:rPr>
        <w:t xml:space="preserve"> on health</w:t>
      </w:r>
      <w:r w:rsidR="00253866" w:rsidRPr="00A858D5">
        <w:rPr>
          <w:color w:val="000000" w:themeColor="text1"/>
          <w:lang w:val="en-GB"/>
        </w:rPr>
        <w:t xml:space="preserve"> </w:t>
      </w:r>
      <w:r w:rsidR="00143367" w:rsidRPr="00A858D5">
        <w:rPr>
          <w:color w:val="000000" w:themeColor="text1"/>
          <w:lang w:val="en-GB"/>
        </w:rPr>
        <w:t>in the lower educated</w:t>
      </w:r>
      <w:r w:rsidR="002961A6" w:rsidRPr="00A858D5">
        <w:rPr>
          <w:color w:val="000000" w:themeColor="text1"/>
          <w:lang w:val="en-GB"/>
        </w:rPr>
        <w:t xml:space="preserve"> </w:t>
      </w:r>
      <w:r w:rsidR="00946308" w:rsidRPr="00A858D5">
        <w:rPr>
          <w:color w:val="000000" w:themeColor="text1"/>
          <w:lang w:val="en-GB"/>
        </w:rPr>
        <w:t>of</w:t>
      </w:r>
      <w:r w:rsidR="002961A6" w:rsidRPr="00A858D5">
        <w:rPr>
          <w:color w:val="000000" w:themeColor="text1"/>
          <w:lang w:val="en-GB"/>
        </w:rPr>
        <w:t xml:space="preserve"> Belgian origin</w:t>
      </w:r>
      <w:r w:rsidR="003E4F1B" w:rsidRPr="00A858D5">
        <w:rPr>
          <w:color w:val="000000" w:themeColor="text1"/>
          <w:lang w:val="en-GB"/>
        </w:rPr>
        <w:t>.</w:t>
      </w:r>
      <w:r w:rsidR="006A2769" w:rsidRPr="00A858D5">
        <w:rPr>
          <w:color w:val="000000" w:themeColor="text1"/>
          <w:lang w:val="en-GB"/>
        </w:rPr>
        <w:t xml:space="preserve"> </w:t>
      </w:r>
      <w:r w:rsidR="00DA2BEC" w:rsidRPr="00A858D5">
        <w:rPr>
          <w:color w:val="000000" w:themeColor="text1"/>
          <w:lang w:val="en-GB"/>
        </w:rPr>
        <w:t>A greater</w:t>
      </w:r>
      <w:r w:rsidR="00CD795B" w:rsidRPr="00A858D5">
        <w:rPr>
          <w:color w:val="000000" w:themeColor="text1"/>
          <w:lang w:val="en-GB"/>
        </w:rPr>
        <w:t xml:space="preserve"> </w:t>
      </w:r>
      <w:r w:rsidR="00DA2BEC" w:rsidRPr="00A858D5">
        <w:rPr>
          <w:color w:val="000000" w:themeColor="text1"/>
          <w:lang w:val="en-GB"/>
        </w:rPr>
        <w:t>beneficial effect of green spaces in the tertiary educated</w:t>
      </w:r>
      <w:r w:rsidR="00EF6A73" w:rsidRPr="00A858D5">
        <w:rPr>
          <w:color w:val="000000" w:themeColor="text1"/>
          <w:lang w:val="en-GB"/>
        </w:rPr>
        <w:t xml:space="preserve"> men might be related to </w:t>
      </w:r>
      <w:r w:rsidR="005B37EE" w:rsidRPr="00A858D5">
        <w:rPr>
          <w:color w:val="000000" w:themeColor="text1"/>
          <w:lang w:val="en-GB"/>
        </w:rPr>
        <w:t xml:space="preserve">a more active use of </w:t>
      </w:r>
      <w:r w:rsidR="00BA1B67" w:rsidRPr="00A858D5">
        <w:rPr>
          <w:color w:val="000000" w:themeColor="text1"/>
          <w:lang w:val="en-GB"/>
        </w:rPr>
        <w:t>them</w:t>
      </w:r>
      <w:r w:rsidR="00CB4A51" w:rsidRPr="00A858D5">
        <w:rPr>
          <w:color w:val="000000" w:themeColor="text1"/>
          <w:lang w:val="en-GB"/>
        </w:rPr>
        <w:t xml:space="preserve">, since </w:t>
      </w:r>
      <w:r w:rsidR="00AC64F5" w:rsidRPr="00A858D5">
        <w:rPr>
          <w:color w:val="000000" w:themeColor="text1"/>
          <w:lang w:val="en-GB"/>
        </w:rPr>
        <w:t xml:space="preserve">education </w:t>
      </w:r>
      <w:r w:rsidR="00374921" w:rsidRPr="00A858D5">
        <w:rPr>
          <w:color w:val="000000" w:themeColor="text1"/>
          <w:lang w:val="en-GB"/>
        </w:rPr>
        <w:t>is a</w:t>
      </w:r>
      <w:r w:rsidR="00AC64F5" w:rsidRPr="00A858D5">
        <w:rPr>
          <w:color w:val="000000" w:themeColor="text1"/>
          <w:lang w:val="en-GB"/>
        </w:rPr>
        <w:t xml:space="preserve"> predictor of</w:t>
      </w:r>
      <w:r w:rsidR="00317CA7" w:rsidRPr="00A858D5">
        <w:rPr>
          <w:color w:val="000000" w:themeColor="text1"/>
          <w:lang w:val="en-GB"/>
        </w:rPr>
        <w:t xml:space="preserve"> physical activity</w:t>
      </w:r>
      <w:r w:rsidR="00E2058C" w:rsidRPr="00A858D5">
        <w:rPr>
          <w:color w:val="000000" w:themeColor="text1"/>
          <w:lang w:val="en-GB"/>
        </w:rPr>
        <w:t xml:space="preserve"> </w:t>
      </w:r>
      <w:r w:rsidR="00477A2A" w:rsidRPr="00A858D5">
        <w:rPr>
          <w:color w:val="000000" w:themeColor="text1"/>
          <w:lang w:val="en-GB"/>
        </w:rPr>
        <w:fldChar w:fldCharType="begin" w:fldLock="1"/>
      </w:r>
      <w:r w:rsidR="00452D47">
        <w:rPr>
          <w:color w:val="000000" w:themeColor="text1"/>
          <w:lang w:val="en-GB"/>
        </w:rPr>
        <w:instrText>ADDIN CSL_CITATION {"citationItems":[{"id":"ITEM-1","itemData":{"DOI":"10.1177/0017896906069378","author":[{"dropping-particle":"","family":"Gidlow","given":"Christopher","non-dropping-particle":"","parse-names":false,"suffix":""},{"dropping-particle":"","family":"Johnston","given":"Lynne Halley","non-dropping-particle":"","parse-names":false,"suffix":""},{"dropping-particle":"","family":"Crone","given":"Diane","non-dropping-particle":"","parse-names":false,"suffix":""},{"dropping-particle":"","family":"Ellis","given":"Naomi","non-dropping-particle":"","parse-names":false,"suffix":""},{"dropping-particle":"","family":"James","given":"David","non-dropping-particle":"","parse-names":false,"suffix":""}],"container-title":"Health Education Journal","id":"ITEM-1","issue":"4","issued":{"date-parts":[["2006"]]},"page":"338-367","title":"A systematic review of the relationship between socio-economic position and physical activity","type":"article-journal","volume":"65"},"uris":["http://www.mendeley.com/documents/?uuid=334ec5e0-2b0e-429e-b028-bd59fa0037fd"]}],"mendeley":{"formattedCitation":"(Gidlow et al., 2006)","plainTextFormattedCitation":"(Gidlow et al., 2006)","previouslyFormattedCitation":"(Gidlow et al., 2006)"},"properties":{"noteIndex":0},"schema":"https://github.com/citation-style-language/schema/raw/master/csl-citation.json"}</w:instrText>
      </w:r>
      <w:r w:rsidR="00477A2A" w:rsidRPr="00A858D5">
        <w:rPr>
          <w:color w:val="000000" w:themeColor="text1"/>
          <w:lang w:val="en-GB"/>
        </w:rPr>
        <w:fldChar w:fldCharType="separate"/>
      </w:r>
      <w:r w:rsidR="00477A2A" w:rsidRPr="00113E16">
        <w:rPr>
          <w:noProof/>
          <w:color w:val="000000" w:themeColor="text1"/>
          <w:lang w:val="en-GB"/>
        </w:rPr>
        <w:t>(Gidlow et al., 2006)</w:t>
      </w:r>
      <w:r w:rsidR="00477A2A" w:rsidRPr="00A858D5">
        <w:rPr>
          <w:color w:val="000000" w:themeColor="text1"/>
          <w:lang w:val="en-GB"/>
        </w:rPr>
        <w:fldChar w:fldCharType="end"/>
      </w:r>
      <w:r w:rsidR="00317CA7" w:rsidRPr="00A858D5">
        <w:rPr>
          <w:color w:val="000000" w:themeColor="text1"/>
          <w:lang w:val="en-GB"/>
        </w:rPr>
        <w:t xml:space="preserve"> and men are more</w:t>
      </w:r>
      <w:r w:rsidR="00477A2A" w:rsidRPr="00A858D5">
        <w:rPr>
          <w:color w:val="000000" w:themeColor="text1"/>
          <w:lang w:val="en-GB"/>
        </w:rPr>
        <w:t xml:space="preserve"> </w:t>
      </w:r>
      <w:r w:rsidR="00680459" w:rsidRPr="00A858D5">
        <w:rPr>
          <w:color w:val="000000" w:themeColor="text1"/>
          <w:lang w:val="en-GB"/>
        </w:rPr>
        <w:t xml:space="preserve">likely to </w:t>
      </w:r>
      <w:r w:rsidR="00937399" w:rsidRPr="00A858D5">
        <w:rPr>
          <w:color w:val="000000" w:themeColor="text1"/>
          <w:lang w:val="en-GB"/>
        </w:rPr>
        <w:t xml:space="preserve">exercise in </w:t>
      </w:r>
      <w:r w:rsidR="00847FAA" w:rsidRPr="00A858D5">
        <w:rPr>
          <w:color w:val="000000" w:themeColor="text1"/>
          <w:lang w:val="en-GB"/>
        </w:rPr>
        <w:t xml:space="preserve">open public </w:t>
      </w:r>
      <w:r w:rsidR="00937399" w:rsidRPr="00A858D5">
        <w:rPr>
          <w:color w:val="000000" w:themeColor="text1"/>
          <w:lang w:val="en-GB"/>
        </w:rPr>
        <w:t xml:space="preserve">green spaces </w:t>
      </w:r>
      <w:r w:rsidR="00937399" w:rsidRPr="00A858D5">
        <w:rPr>
          <w:color w:val="000000" w:themeColor="text1"/>
          <w:lang w:val="en-GB"/>
        </w:rPr>
        <w:fldChar w:fldCharType="begin" w:fldLock="1"/>
      </w:r>
      <w:r w:rsidR="00452D47">
        <w:rPr>
          <w:color w:val="000000" w:themeColor="text1"/>
          <w:lang w:val="en-GB"/>
        </w:rPr>
        <w:instrText>ADDIN CSL_CITATION {"citationItems":[{"id":"ITEM-1","itemData":{"DOI":"10.2105/AJPH.2005.072447","author":[{"dropping-particle":"","family":"Cohen","given":"Deborah A","non-dropping-particle":"","parse-names":false,"suffix":""},{"dropping-particle":"","family":"Mckenzie","given":"Thomas L","non-dropping-particle":"","parse-names":false,"suffix":""},{"dropping-particle":"","family":"Sehgal","given":"Amber","non-dropping-particle":"","parse-names":false,"suffix":""},{"dropping-particle":"","family":"Williamson","given":"Stephanie","non-dropping-particle":"","parse-names":false,"suffix":""},{"dropping-particle":"","family":"Golinelli","given":"Daniela","non-dropping-particle":"","parse-names":false,"suffix":""},{"dropping-particle":"","family":"Lurie","given":"Nicole","non-dropping-particle":"","parse-names":false,"suffix":""}],"container-title":"American Journal of Public Health","id":"ITEM-1","issue":"3","issued":{"date-parts":[["2007"]]},"page":"509-514","title":"Contribution of Public Parks to Physical Activity","type":"article-journal","volume":"97"},"uris":["http://www.mendeley.com/documents/?uuid=8f87d36a-dbe0-4c88-bd53-949885fec46a"]}],"mendeley":{"formattedCitation":"(Cohen et al., 2007)","plainTextFormattedCitation":"(Cohen et al., 2007)","previouslyFormattedCitation":"(Cohen et al., 2007)"},"properties":{"noteIndex":0},"schema":"https://github.com/citation-style-language/schema/raw/master/csl-citation.json"}</w:instrText>
      </w:r>
      <w:r w:rsidR="00937399" w:rsidRPr="00A858D5">
        <w:rPr>
          <w:color w:val="000000" w:themeColor="text1"/>
          <w:lang w:val="en-GB"/>
        </w:rPr>
        <w:fldChar w:fldCharType="separate"/>
      </w:r>
      <w:r w:rsidR="00937399" w:rsidRPr="00113E16">
        <w:rPr>
          <w:noProof/>
          <w:color w:val="000000" w:themeColor="text1"/>
          <w:lang w:val="en-GB"/>
        </w:rPr>
        <w:t>(Cohen et al., 2007)</w:t>
      </w:r>
      <w:r w:rsidR="00937399" w:rsidRPr="00A858D5">
        <w:rPr>
          <w:color w:val="000000" w:themeColor="text1"/>
          <w:lang w:val="en-GB"/>
        </w:rPr>
        <w:fldChar w:fldCharType="end"/>
      </w:r>
      <w:r w:rsidR="00E23583" w:rsidRPr="00A858D5">
        <w:rPr>
          <w:color w:val="000000" w:themeColor="text1"/>
          <w:lang w:val="en-GB"/>
        </w:rPr>
        <w:t>.</w:t>
      </w:r>
      <w:r w:rsidR="000F2627" w:rsidRPr="00A858D5">
        <w:rPr>
          <w:color w:val="000000" w:themeColor="text1"/>
          <w:lang w:val="en-GB"/>
        </w:rPr>
        <w:t xml:space="preserve"> </w:t>
      </w:r>
      <w:r w:rsidR="00136236" w:rsidRPr="00A858D5">
        <w:rPr>
          <w:color w:val="000000" w:themeColor="text1"/>
          <w:lang w:val="en-GB"/>
        </w:rPr>
        <w:t xml:space="preserve">More research is needed </w:t>
      </w:r>
      <w:r w:rsidR="00136236" w:rsidRPr="00A858D5">
        <w:rPr>
          <w:lang w:val="en-GB"/>
        </w:rPr>
        <w:t>to assess the intersection between residential UGS, gender and educational attainment in the relationship with health outcomes.</w:t>
      </w:r>
    </w:p>
    <w:p w14:paraId="386710D2" w14:textId="4536372D" w:rsidR="00D24EB8" w:rsidRPr="00A858D5" w:rsidRDefault="00EC7643" w:rsidP="006B0CF5">
      <w:pPr>
        <w:rPr>
          <w:lang w:val="en-GB"/>
        </w:rPr>
      </w:pPr>
      <w:r w:rsidRPr="00A858D5">
        <w:rPr>
          <w:lang w:val="en-GB"/>
        </w:rPr>
        <w:t xml:space="preserve">We </w:t>
      </w:r>
      <w:r w:rsidR="009F175E" w:rsidRPr="00A858D5">
        <w:rPr>
          <w:lang w:val="en-GB"/>
        </w:rPr>
        <w:t>found</w:t>
      </w:r>
      <w:r w:rsidR="00C95120" w:rsidRPr="00A858D5">
        <w:rPr>
          <w:lang w:val="en-GB"/>
        </w:rPr>
        <w:t xml:space="preserve"> </w:t>
      </w:r>
      <w:r w:rsidRPr="00A858D5">
        <w:rPr>
          <w:lang w:val="en-GB"/>
        </w:rPr>
        <w:t>significant interaction</w:t>
      </w:r>
      <w:r w:rsidR="00B34755" w:rsidRPr="00A858D5">
        <w:rPr>
          <w:lang w:val="en-GB"/>
        </w:rPr>
        <w:t>s</w:t>
      </w:r>
      <w:r w:rsidRPr="00A858D5">
        <w:rPr>
          <w:lang w:val="en-GB"/>
        </w:rPr>
        <w:t xml:space="preserve"> between residential UGS indicators </w:t>
      </w:r>
      <w:r w:rsidR="009F175E" w:rsidRPr="00A858D5">
        <w:rPr>
          <w:lang w:val="en-GB"/>
        </w:rPr>
        <w:t xml:space="preserve">and </w:t>
      </w:r>
      <w:r w:rsidR="009E31EB" w:rsidRPr="00A858D5">
        <w:rPr>
          <w:lang w:val="en-GB"/>
        </w:rPr>
        <w:t>migrant background</w:t>
      </w:r>
      <w:r w:rsidR="002D3E1A" w:rsidRPr="00A858D5">
        <w:rPr>
          <w:lang w:val="en-GB"/>
        </w:rPr>
        <w:t xml:space="preserve"> for both health outcomes</w:t>
      </w:r>
      <w:r w:rsidR="00C009FC" w:rsidRPr="00A858D5">
        <w:rPr>
          <w:lang w:val="en-GB"/>
        </w:rPr>
        <w:t>,</w:t>
      </w:r>
      <w:r w:rsidR="009E31EB" w:rsidRPr="00A858D5">
        <w:rPr>
          <w:lang w:val="en-GB"/>
        </w:rPr>
        <w:t xml:space="preserve"> </w:t>
      </w:r>
      <w:r w:rsidR="00C009FC" w:rsidRPr="00A858D5">
        <w:rPr>
          <w:lang w:val="en-GB"/>
        </w:rPr>
        <w:t>but</w:t>
      </w:r>
      <w:r w:rsidR="00092A1E" w:rsidRPr="00A858D5">
        <w:rPr>
          <w:lang w:val="en-GB"/>
        </w:rPr>
        <w:t xml:space="preserve"> the differences between </w:t>
      </w:r>
      <w:r w:rsidR="00020D3C" w:rsidRPr="00A858D5">
        <w:rPr>
          <w:lang w:val="en-GB"/>
        </w:rPr>
        <w:t>the</w:t>
      </w:r>
      <w:r w:rsidR="00FF267F" w:rsidRPr="00A858D5">
        <w:rPr>
          <w:lang w:val="en-GB"/>
        </w:rPr>
        <w:t xml:space="preserve"> groups</w:t>
      </w:r>
      <w:r w:rsidR="00101C00" w:rsidRPr="00A858D5">
        <w:rPr>
          <w:lang w:val="en-GB"/>
        </w:rPr>
        <w:t xml:space="preserve"> were very subtle</w:t>
      </w:r>
      <w:r w:rsidR="00D63AB3" w:rsidRPr="00A858D5">
        <w:rPr>
          <w:lang w:val="en-GB"/>
        </w:rPr>
        <w:t>.</w:t>
      </w:r>
      <w:r w:rsidR="008A3C25" w:rsidRPr="00A858D5">
        <w:rPr>
          <w:lang w:val="en-GB"/>
        </w:rPr>
        <w:t xml:space="preserve"> </w:t>
      </w:r>
      <w:r w:rsidR="006B0CF5" w:rsidRPr="00A858D5">
        <w:rPr>
          <w:lang w:val="en-GB"/>
        </w:rPr>
        <w:t>Among men</w:t>
      </w:r>
      <w:r w:rsidR="00904141" w:rsidRPr="00A858D5">
        <w:rPr>
          <w:lang w:val="en-GB"/>
        </w:rPr>
        <w:t xml:space="preserve"> originating from LMIC</w:t>
      </w:r>
      <w:r w:rsidR="006B0CF5" w:rsidRPr="00A858D5">
        <w:rPr>
          <w:lang w:val="en-GB"/>
        </w:rPr>
        <w:t>, we</w:t>
      </w:r>
      <w:r w:rsidR="009D28EB" w:rsidRPr="00A858D5">
        <w:rPr>
          <w:lang w:val="en-GB"/>
        </w:rPr>
        <w:t xml:space="preserve"> observed</w:t>
      </w:r>
      <w:r w:rsidR="00E31B9B" w:rsidRPr="00A858D5">
        <w:rPr>
          <w:lang w:val="en-GB"/>
        </w:rPr>
        <w:t xml:space="preserve"> no</w:t>
      </w:r>
      <w:r w:rsidR="009D28EB" w:rsidRPr="00A858D5">
        <w:rPr>
          <w:lang w:val="en-GB"/>
        </w:rPr>
        <w:t xml:space="preserve"> significant</w:t>
      </w:r>
      <w:r w:rsidR="002776F3" w:rsidRPr="00A858D5">
        <w:rPr>
          <w:lang w:val="en-GB"/>
        </w:rPr>
        <w:t xml:space="preserve"> beneficial</w:t>
      </w:r>
      <w:r w:rsidR="00E31B9B" w:rsidRPr="00A858D5">
        <w:rPr>
          <w:lang w:val="en-GB"/>
        </w:rPr>
        <w:t xml:space="preserve"> associations</w:t>
      </w:r>
      <w:r w:rsidR="00713DD3" w:rsidRPr="00A858D5">
        <w:rPr>
          <w:lang w:val="en-GB"/>
        </w:rPr>
        <w:t xml:space="preserve"> on health of living near </w:t>
      </w:r>
      <w:r w:rsidR="00713DD3" w:rsidRPr="00A858D5">
        <w:rPr>
          <w:lang w:val="en-GB"/>
        </w:rPr>
        <w:lastRenderedPageBreak/>
        <w:t>greener spaces</w:t>
      </w:r>
      <w:r w:rsidR="00E80558" w:rsidRPr="00A858D5">
        <w:rPr>
          <w:lang w:val="en-GB"/>
        </w:rPr>
        <w:t>.</w:t>
      </w:r>
      <w:r w:rsidR="00ED2A96" w:rsidRPr="00A858D5">
        <w:rPr>
          <w:lang w:val="en-GB"/>
        </w:rPr>
        <w:t xml:space="preserve"> </w:t>
      </w:r>
      <w:r w:rsidR="005E54A7" w:rsidRPr="00A858D5">
        <w:rPr>
          <w:lang w:val="en-GB"/>
        </w:rPr>
        <w:t xml:space="preserve">To our knowledge, </w:t>
      </w:r>
      <w:r w:rsidR="002E610F" w:rsidRPr="00A858D5">
        <w:rPr>
          <w:lang w:val="en-GB"/>
        </w:rPr>
        <w:t xml:space="preserve">only </w:t>
      </w:r>
      <w:r w:rsidR="006C58B8" w:rsidRPr="00A858D5">
        <w:rPr>
          <w:lang w:val="en-GB"/>
        </w:rPr>
        <w:t xml:space="preserve">three </w:t>
      </w:r>
      <w:r w:rsidR="001C5ED3" w:rsidRPr="00A858D5">
        <w:rPr>
          <w:lang w:val="en-GB"/>
        </w:rPr>
        <w:t>s</w:t>
      </w:r>
      <w:r w:rsidR="003C18D9" w:rsidRPr="00A858D5">
        <w:rPr>
          <w:lang w:val="en-GB"/>
        </w:rPr>
        <w:t>tudies</w:t>
      </w:r>
      <w:r w:rsidR="00830C8A" w:rsidRPr="00A858D5">
        <w:rPr>
          <w:lang w:val="en-GB"/>
        </w:rPr>
        <w:t xml:space="preserve"> </w:t>
      </w:r>
      <w:r w:rsidR="00A26395" w:rsidRPr="00A858D5">
        <w:rPr>
          <w:lang w:val="en-GB"/>
        </w:rPr>
        <w:t>conducted in the UK</w:t>
      </w:r>
      <w:r w:rsidR="00462AC8" w:rsidRPr="00A858D5">
        <w:rPr>
          <w:lang w:val="en-GB"/>
        </w:rPr>
        <w:t xml:space="preserve"> </w:t>
      </w:r>
      <w:r w:rsidR="00A26395" w:rsidRPr="00A858D5">
        <w:rPr>
          <w:lang w:val="en-GB"/>
        </w:rPr>
        <w:t>have assessed the</w:t>
      </w:r>
      <w:r w:rsidR="00830C8A" w:rsidRPr="00A858D5">
        <w:rPr>
          <w:lang w:val="en-GB"/>
        </w:rPr>
        <w:t xml:space="preserve"> effect modification by </w:t>
      </w:r>
      <w:r w:rsidR="00C17D49" w:rsidRPr="00A858D5">
        <w:rPr>
          <w:lang w:val="en-GB"/>
        </w:rPr>
        <w:t xml:space="preserve">ethnicity in the relationship between green spaces and </w:t>
      </w:r>
      <w:r w:rsidR="00D15B43" w:rsidRPr="00A858D5">
        <w:rPr>
          <w:lang w:val="en-GB"/>
        </w:rPr>
        <w:t>different</w:t>
      </w:r>
      <w:r w:rsidR="005E54A7" w:rsidRPr="00A858D5">
        <w:rPr>
          <w:lang w:val="en-GB"/>
        </w:rPr>
        <w:t xml:space="preserve"> </w:t>
      </w:r>
      <w:r w:rsidR="00C17D49" w:rsidRPr="00A858D5">
        <w:rPr>
          <w:lang w:val="en-GB"/>
        </w:rPr>
        <w:t>health</w:t>
      </w:r>
      <w:r w:rsidR="005E54A7" w:rsidRPr="00A858D5">
        <w:rPr>
          <w:lang w:val="en-GB"/>
        </w:rPr>
        <w:t xml:space="preserve"> indicators</w:t>
      </w:r>
      <w:r w:rsidR="00B61BC6" w:rsidRPr="00A858D5">
        <w:rPr>
          <w:lang w:val="en-GB"/>
        </w:rPr>
        <w:t>. Despite all being based on the Born in Bradford cohort,</w:t>
      </w:r>
      <w:r w:rsidR="00FB6D6C" w:rsidRPr="00A858D5">
        <w:rPr>
          <w:lang w:val="en-GB"/>
        </w:rPr>
        <w:t xml:space="preserve"> </w:t>
      </w:r>
      <w:r w:rsidR="0020518E" w:rsidRPr="00A858D5">
        <w:rPr>
          <w:lang w:val="en-GB"/>
        </w:rPr>
        <w:t xml:space="preserve">they </w:t>
      </w:r>
      <w:r w:rsidR="00FE159D" w:rsidRPr="00A858D5">
        <w:rPr>
          <w:lang w:val="en-GB"/>
        </w:rPr>
        <w:t>show</w:t>
      </w:r>
      <w:r w:rsidR="0020518E" w:rsidRPr="00A858D5">
        <w:rPr>
          <w:lang w:val="en-GB"/>
        </w:rPr>
        <w:t xml:space="preserve"> mixed results, and </w:t>
      </w:r>
      <w:r w:rsidR="00FB6D6C" w:rsidRPr="00A858D5">
        <w:rPr>
          <w:lang w:val="en-GB"/>
        </w:rPr>
        <w:t xml:space="preserve">only one focused on an adult population, </w:t>
      </w:r>
      <w:r w:rsidR="00B34755" w:rsidRPr="00A858D5">
        <w:rPr>
          <w:lang w:val="en-GB"/>
        </w:rPr>
        <w:t>similar to</w:t>
      </w:r>
      <w:r w:rsidR="00FB6D6C" w:rsidRPr="00A858D5">
        <w:rPr>
          <w:lang w:val="en-GB"/>
        </w:rPr>
        <w:t xml:space="preserve"> ours</w:t>
      </w:r>
      <w:r w:rsidR="00C84F21" w:rsidRPr="00A858D5">
        <w:rPr>
          <w:lang w:val="en-GB"/>
        </w:rPr>
        <w:t xml:space="preserve"> </w:t>
      </w:r>
      <w:r w:rsidR="003E76A3" w:rsidRPr="00A858D5">
        <w:rPr>
          <w:lang w:val="en-GB"/>
        </w:rPr>
        <w:fldChar w:fldCharType="begin" w:fldLock="1"/>
      </w:r>
      <w:r w:rsidR="00452D47">
        <w:rPr>
          <w:lang w:val="en-GB"/>
        </w:rPr>
        <w:instrText>ADDIN CSL_CITATION {"citationItems":[{"id":"ITEM-1","itemData":{"DOI":"10.1016/j.envint.2014.06.010","author":[{"dropping-particle":"","family":"Dadvand","given":"Payam","non-dropping-particle":"","parse-names":false,"suffix":""},{"dropping-particle":"","family":"Wright","given":"John","non-dropping-particle":"","parse-names":false,"suffix":""},{"dropping-particle":"","family":"Martinez","given":"David","non-dropping-particle":"","parse-names":false,"suffix":""},{"dropping-particle":"","family":"Basagaña","given":"Xavier","non-dropping-particle":"","parse-names":false,"suffix":""},{"dropping-particle":"","family":"Mceachan","given":"Rosemary R C","non-dropping-particle":"","parse-names":false,"suffix":""},{"dropping-particle":"","family":"Cirach","given":"Marta","non-dropping-particle":"","parse-names":false,"suffix":""},{"dropping-particle":"","family":"Gidlow","given":"Christopher J","non-dropping-particle":"","parse-names":false,"suffix":""},{"dropping-particle":"De","family":"Hoogh","given":"Kees","non-dropping-particle":"","parse-names":false,"suffix":""},{"dropping-particle":"","family":"Gra","given":"Regina","non-dropping-particle":"","parse-names":false,"suffix":""},{"dropping-particle":"","family":"Nieuwenhuijsen","given":"Mark J","non-dropping-particle":"","parse-names":false,"suffix":""}],"container-title":"Environment International","id":"ITEM-1","issued":{"date-parts":[["2014"]]},"page":"101-108","title":"Inequality, green spaces, and pregnant women: Roles of ethnicity and individual and neighbourhood socioeconomic status","type":"article-journal","volume":"71"},"uris":["http://www.mendeley.com/documents/?uuid=4344ce01-3d4d-44c8-962e-4e7e5203884a"]},{"id":"ITEM-2","itemData":{"DOI":"10.1136/jech-2015-205954","author":[{"dropping-particle":"","family":"McEachan","given":"Rosemary R C","non-dropping-particle":"","parse-names":false,"suffix":""},{"dropping-particle":"","family":"Prady","given":"S L","non-dropping-particle":"","parse-names":false,"suffix":""},{"dropping-particle":"","family":"Smith","given":"G","non-dropping-particle":"","parse-names":false,"suffix":""},{"dropping-particle":"","family":"Fairley","given":"L","non-dropping-particle":"","parse-names":false,"suffix":""},{"dropping-particle":"","family":"Cabieses","given":"B","non-dropping-particle":"","parse-names":false,"suffix":""},{"dropping-particle":"","family":"Gidlow","given":"C","non-dropping-particle":"","parse-names":false,"suffix":""},{"dropping-particle":"","family":"Wright","given":"J","non-dropping-particle":"","parse-names":false,"suffix":""},{"dropping-particle":"","family":"Dadvand","given":"P","non-dropping-particle":"","parse-names":false,"suffix":""},{"dropping-particle":"Van","family":"Gent","given":"D","non-dropping-particle":"","parse-names":false,"suffix":""},{"dropping-particle":"","family":"Nieuwenhuijsen","given":"M J","non-dropping-particle":"","parse-names":false,"suffix":""},{"dropping-particle":"","family":"Royal","given":"Bradford","non-dropping-particle":"","parse-names":false,"suffix":""}],"container-title":"Journal of Epidemiology &amp; Community Health","id":"ITEM-2","issued":{"date-parts":[["2016"]]},"page":"253-259","title":"The association between green space and depressive symptoms in pregnant women : moderating roles of socioeconomic status and physical activity","type":"article-journal","volume":"70"},"uris":["http://www.mendeley.com/documents/?uuid=f6124147-4e1a-4796-b7e8-266fc9bb01ec"]},{"id":"ITEM-3","itemData":{"DOI":"10.1016/S2542-5196(18)30119-0","ISSN":"2542-5196","author":[{"dropping-particle":"","family":"McEachan","given":"Rosemary R C","non-dropping-particle":"","parse-names":false,"suffix":""},{"dropping-particle":"","family":"Yang","given":"Tiffany C","non-dropping-particle":"","parse-names":false,"suffix":""},{"dropping-particle":"","family":"Roberts","given":"Hannah","non-dropping-particle":"","parse-names":false,"suffix":""},{"dropping-particle":"","family":"Pickett","given":"Kate E","non-dropping-particle":"","parse-names":false,"suffix":""},{"dropping-particle":"","family":"Arseneau-powell","given":"Diana","non-dropping-particle":"","parse-names":false,"suffix":""},{"dropping-particle":"","family":"Gidlow","given":"Christopher J","non-dropping-particle":"","parse-names":false,"suffix":""},{"dropping-particle":"","family":"Wright","given":"John","non-dropping-particle":"","parse-names":false,"suffix":""}],"container-title":"The Lancet Planetary Health","id":"ITEM-3","issue":"6","issued":{"date-parts":[["2018"]]},"page":"e244-e254","publisher":"The Author(s). Published by Elsevier Ltd. This is an Open Access article under the CC BY 4.0 license","title":"Availability, use of, and satisfaction with green space, and children’s mental wellbeing at age 4 years in a multicultural, deprived, urban area: results from the Born in Bradford cohort study","type":"article-journal","volume":"2"},"uris":["http://www.mendeley.com/documents/?uuid=51bb7156-b6f6-498c-8b39-450cdb7e5e1d"]}],"mendeley":{"formattedCitation":"(Dadvand et al., 2014; McEachan et al., 2018, 2016)","plainTextFormattedCitation":"(Dadvand et al., 2014; McEachan et al., 2018, 2016)","previouslyFormattedCitation":"(Dadvand et al., 2014; McEachan et al., 2018, 2016)"},"properties":{"noteIndex":0},"schema":"https://github.com/citation-style-language/schema/raw/master/csl-citation.json"}</w:instrText>
      </w:r>
      <w:r w:rsidR="003E76A3" w:rsidRPr="00A858D5">
        <w:rPr>
          <w:lang w:val="en-GB"/>
        </w:rPr>
        <w:fldChar w:fldCharType="separate"/>
      </w:r>
      <w:r w:rsidR="00113E16" w:rsidRPr="00113E16">
        <w:rPr>
          <w:noProof/>
          <w:lang w:val="en-GB"/>
        </w:rPr>
        <w:t>(Dadvand et al., 2014; McEachan et al., 2018, 2016)</w:t>
      </w:r>
      <w:r w:rsidR="003E76A3" w:rsidRPr="00A858D5">
        <w:rPr>
          <w:lang w:val="en-GB"/>
        </w:rPr>
        <w:fldChar w:fldCharType="end"/>
      </w:r>
      <w:r w:rsidR="00AF669D" w:rsidRPr="00A858D5">
        <w:rPr>
          <w:lang w:val="en-GB"/>
        </w:rPr>
        <w:t>.</w:t>
      </w:r>
      <w:r w:rsidR="00294928" w:rsidRPr="00A858D5">
        <w:rPr>
          <w:lang w:val="en-GB"/>
        </w:rPr>
        <w:t xml:space="preserve"> </w:t>
      </w:r>
      <w:r w:rsidR="008A2018" w:rsidRPr="00A858D5">
        <w:rPr>
          <w:lang w:val="en-GB"/>
        </w:rPr>
        <w:t xml:space="preserve">One study </w:t>
      </w:r>
      <w:r w:rsidR="00594105" w:rsidRPr="00A858D5">
        <w:rPr>
          <w:lang w:val="en-GB"/>
        </w:rPr>
        <w:t>observed positive associations between surrounding greenness and birth weight</w:t>
      </w:r>
      <w:r w:rsidR="00612DFE" w:rsidRPr="00A858D5">
        <w:rPr>
          <w:lang w:val="en-GB"/>
        </w:rPr>
        <w:t xml:space="preserve"> among </w:t>
      </w:r>
      <w:r w:rsidR="00334FF1" w:rsidRPr="00A858D5">
        <w:rPr>
          <w:lang w:val="en-GB"/>
        </w:rPr>
        <w:t>singleton live-births</w:t>
      </w:r>
      <w:r w:rsidR="001B28D6" w:rsidRPr="00A858D5">
        <w:rPr>
          <w:lang w:val="en-GB"/>
        </w:rPr>
        <w:t xml:space="preserve"> of </w:t>
      </w:r>
      <w:r w:rsidR="00160DDF" w:rsidRPr="00A858D5">
        <w:rPr>
          <w:lang w:val="en-GB"/>
        </w:rPr>
        <w:t xml:space="preserve">White </w:t>
      </w:r>
      <w:r w:rsidR="00612DFE" w:rsidRPr="00A858D5">
        <w:rPr>
          <w:lang w:val="en-GB"/>
        </w:rPr>
        <w:t>British</w:t>
      </w:r>
      <w:r w:rsidR="001B28D6" w:rsidRPr="00A858D5">
        <w:rPr>
          <w:lang w:val="en-GB"/>
        </w:rPr>
        <w:t xml:space="preserve"> mothers</w:t>
      </w:r>
      <w:r w:rsidR="00425934" w:rsidRPr="00A858D5">
        <w:rPr>
          <w:lang w:val="en-GB"/>
        </w:rPr>
        <w:t>, but not</w:t>
      </w:r>
      <w:r w:rsidR="00612DFE" w:rsidRPr="00A858D5">
        <w:rPr>
          <w:lang w:val="en-GB"/>
        </w:rPr>
        <w:t xml:space="preserve"> </w:t>
      </w:r>
      <w:r w:rsidR="00947C33" w:rsidRPr="00A858D5">
        <w:rPr>
          <w:lang w:val="en-GB"/>
        </w:rPr>
        <w:t xml:space="preserve">among </w:t>
      </w:r>
      <w:r w:rsidR="00525D7F" w:rsidRPr="00A858D5">
        <w:rPr>
          <w:lang w:val="en-GB"/>
        </w:rPr>
        <w:t xml:space="preserve">those </w:t>
      </w:r>
      <w:r w:rsidR="00D15B43" w:rsidRPr="00A858D5">
        <w:rPr>
          <w:lang w:val="en-GB"/>
        </w:rPr>
        <w:t xml:space="preserve">of Pakistani </w:t>
      </w:r>
      <w:r w:rsidR="00947C33" w:rsidRPr="00A858D5">
        <w:rPr>
          <w:lang w:val="en-GB"/>
        </w:rPr>
        <w:t xml:space="preserve">women </w:t>
      </w:r>
      <w:r w:rsidR="00D01C9B" w:rsidRPr="00A858D5">
        <w:rPr>
          <w:lang w:val="en-GB"/>
        </w:rPr>
        <w:fldChar w:fldCharType="begin" w:fldLock="1"/>
      </w:r>
      <w:r w:rsidR="00452D47">
        <w:rPr>
          <w:lang w:val="en-GB"/>
        </w:rPr>
        <w:instrText>ADDIN CSL_CITATION {"citationItems":[{"id":"ITEM-1","itemData":{"DOI":"10.1016/j.envint.2014.06.010","author":[{"dropping-particle":"","family":"Dadvand","given":"Payam","non-dropping-particle":"","parse-names":false,"suffix":""},{"dropping-particle":"","family":"Wright","given":"John","non-dropping-particle":"","parse-names":false,"suffix":""},{"dropping-particle":"","family":"Martinez","given":"David","non-dropping-particle":"","parse-names":false,"suffix":""},{"dropping-particle":"","family":"Basagaña","given":"Xavier","non-dropping-particle":"","parse-names":false,"suffix":""},{"dropping-particle":"","family":"Mceachan","given":"Rosemary R C","non-dropping-particle":"","parse-names":false,"suffix":""},{"dropping-particle":"","family":"Cirach","given":"Marta","non-dropping-particle":"","parse-names":false,"suffix":""},{"dropping-particle":"","family":"Gidlow","given":"Christopher J","non-dropping-particle":"","parse-names":false,"suffix":""},{"dropping-particle":"De","family":"Hoogh","given":"Kees","non-dropping-particle":"","parse-names":false,"suffix":""},{"dropping-particle":"","family":"Gra","given":"Regina","non-dropping-particle":"","parse-names":false,"suffix":""},{"dropping-particle":"","family":"Nieuwenhuijsen","given":"Mark J","non-dropping-particle":"","parse-names":false,"suffix":""}],"container-title":"Environment International","id":"ITEM-1","issued":{"date-parts":[["2014"]]},"page":"101-108","title":"Inequality, green spaces, and pregnant women: Roles of ethnicity and individual and neighbourhood socioeconomic status","type":"article-journal","volume":"71"},"uris":["http://www.mendeley.com/documents/?uuid=4344ce01-3d4d-44c8-962e-4e7e5203884a"]}],"mendeley":{"formattedCitation":"(Dadvand et al., 2014)","plainTextFormattedCitation":"(Dadvand et al., 2014)","previouslyFormattedCitation":"(Dadvand et al., 2014)"},"properties":{"noteIndex":0},"schema":"https://github.com/citation-style-language/schema/raw/master/csl-citation.json"}</w:instrText>
      </w:r>
      <w:r w:rsidR="00D01C9B" w:rsidRPr="00A858D5">
        <w:rPr>
          <w:lang w:val="en-GB"/>
        </w:rPr>
        <w:fldChar w:fldCharType="separate"/>
      </w:r>
      <w:r w:rsidR="009F0D48" w:rsidRPr="00113E16">
        <w:rPr>
          <w:noProof/>
          <w:lang w:val="en-GB"/>
        </w:rPr>
        <w:t>(Dadvand et al., 2014)</w:t>
      </w:r>
      <w:r w:rsidR="00D01C9B" w:rsidRPr="00A858D5">
        <w:rPr>
          <w:lang w:val="en-GB"/>
        </w:rPr>
        <w:fldChar w:fldCharType="end"/>
      </w:r>
      <w:r w:rsidR="00947C33" w:rsidRPr="00A858D5">
        <w:rPr>
          <w:lang w:val="en-GB"/>
        </w:rPr>
        <w:t>.</w:t>
      </w:r>
      <w:r w:rsidR="00001398" w:rsidRPr="00A858D5">
        <w:rPr>
          <w:lang w:val="en-GB"/>
        </w:rPr>
        <w:t xml:space="preserve"> </w:t>
      </w:r>
      <w:r w:rsidR="00730484" w:rsidRPr="00A858D5">
        <w:rPr>
          <w:lang w:val="en-GB"/>
        </w:rPr>
        <w:t>Another study</w:t>
      </w:r>
      <w:r w:rsidR="009E61A0" w:rsidRPr="00A858D5">
        <w:rPr>
          <w:lang w:val="en-GB"/>
        </w:rPr>
        <w:t xml:space="preserve"> </w:t>
      </w:r>
      <w:r w:rsidR="001C63D6" w:rsidRPr="00A858D5">
        <w:rPr>
          <w:lang w:val="en-GB"/>
        </w:rPr>
        <w:t>found improved</w:t>
      </w:r>
      <w:r w:rsidR="00175F7C" w:rsidRPr="00A858D5">
        <w:rPr>
          <w:lang w:val="en-GB"/>
        </w:rPr>
        <w:t xml:space="preserve"> </w:t>
      </w:r>
      <w:r w:rsidR="00D15B43" w:rsidRPr="00A858D5">
        <w:rPr>
          <w:lang w:val="en-GB"/>
        </w:rPr>
        <w:t xml:space="preserve">mental health </w:t>
      </w:r>
      <w:r w:rsidR="00711CF5" w:rsidRPr="00A858D5">
        <w:rPr>
          <w:lang w:val="en-GB"/>
        </w:rPr>
        <w:t>among</w:t>
      </w:r>
      <w:r w:rsidR="00B16DE7" w:rsidRPr="00A858D5">
        <w:rPr>
          <w:lang w:val="en-GB"/>
        </w:rPr>
        <w:t xml:space="preserve"> </w:t>
      </w:r>
      <w:r w:rsidR="00595B3C" w:rsidRPr="00A858D5">
        <w:rPr>
          <w:lang w:val="en-GB"/>
        </w:rPr>
        <w:t>4-year-old</w:t>
      </w:r>
      <w:r w:rsidR="00D15B43" w:rsidRPr="00A858D5">
        <w:rPr>
          <w:lang w:val="en-GB"/>
        </w:rPr>
        <w:t xml:space="preserve"> </w:t>
      </w:r>
      <w:r w:rsidR="00624B7A" w:rsidRPr="00A858D5">
        <w:rPr>
          <w:lang w:val="en-GB"/>
        </w:rPr>
        <w:t>South Asian children</w:t>
      </w:r>
      <w:r w:rsidR="00AE6B3F" w:rsidRPr="00A858D5">
        <w:rPr>
          <w:lang w:val="en-GB"/>
        </w:rPr>
        <w:t xml:space="preserve">, but not among </w:t>
      </w:r>
      <w:r w:rsidR="00160DDF" w:rsidRPr="00A858D5">
        <w:rPr>
          <w:lang w:val="en-GB"/>
        </w:rPr>
        <w:t xml:space="preserve">White </w:t>
      </w:r>
      <w:r w:rsidR="00D15B43" w:rsidRPr="00A858D5">
        <w:rPr>
          <w:lang w:val="en-GB"/>
        </w:rPr>
        <w:t xml:space="preserve">children </w:t>
      </w:r>
      <w:r w:rsidR="003836E2" w:rsidRPr="00A858D5">
        <w:rPr>
          <w:lang w:val="en-GB"/>
        </w:rPr>
        <w:fldChar w:fldCharType="begin" w:fldLock="1"/>
      </w:r>
      <w:r w:rsidR="00452D47">
        <w:rPr>
          <w:lang w:val="en-GB"/>
        </w:rPr>
        <w:instrText>ADDIN CSL_CITATION {"citationItems":[{"id":"ITEM-1","itemData":{"DOI":"10.1016/S2542-5196(18)30119-0","ISSN":"2542-5196","author":[{"dropping-particle":"","family":"McEachan","given":"Rosemary R C","non-dropping-particle":"","parse-names":false,"suffix":""},{"dropping-particle":"","family":"Yang","given":"Tiffany C","non-dropping-particle":"","parse-names":false,"suffix":""},{"dropping-particle":"","family":"Roberts","given":"Hannah","non-dropping-particle":"","parse-names":false,"suffix":""},{"dropping-particle":"","family":"Pickett","given":"Kate E","non-dropping-particle":"","parse-names":false,"suffix":""},{"dropping-particle":"","family":"Arseneau-powell","given":"Diana","non-dropping-particle":"","parse-names":false,"suffix":""},{"dropping-particle":"","family":"Gidlow","given":"Christopher J","non-dropping-particle":"","parse-names":false,"suffix":""},{"dropping-particle":"","family":"Wright","given":"John","non-dropping-particle":"","parse-names":false,"suffix":""}],"container-title":"The Lancet Planetary Health","id":"ITEM-1","issue":"6","issued":{"date-parts":[["2018"]]},"page":"e244-e254","publisher":"The Author(s). Published by Elsevier Ltd. This is an Open Access article under the CC BY 4.0 license","title":"Availability, use of, and satisfaction with green space, and children’s mental wellbeing at age 4 years in a multicultural, deprived, urban area: results from the Born in Bradford cohort study","type":"article-journal","volume":"2"},"uris":["http://www.mendeley.com/documents/?uuid=51bb7156-b6f6-498c-8b39-450cdb7e5e1d"]}],"mendeley":{"formattedCitation":"(McEachan et al., 2018)","plainTextFormattedCitation":"(McEachan et al., 2018)","previouslyFormattedCitation":"(McEachan et al., 2018)"},"properties":{"noteIndex":0},"schema":"https://github.com/citation-style-language/schema/raw/master/csl-citation.json"}</w:instrText>
      </w:r>
      <w:r w:rsidR="003836E2" w:rsidRPr="00A858D5">
        <w:rPr>
          <w:lang w:val="en-GB"/>
        </w:rPr>
        <w:fldChar w:fldCharType="separate"/>
      </w:r>
      <w:r w:rsidR="009F0D48" w:rsidRPr="00113E16">
        <w:rPr>
          <w:noProof/>
          <w:lang w:val="en-GB"/>
        </w:rPr>
        <w:t>(McEachan et al., 2018)</w:t>
      </w:r>
      <w:r w:rsidR="003836E2" w:rsidRPr="00A858D5">
        <w:rPr>
          <w:lang w:val="en-GB"/>
        </w:rPr>
        <w:fldChar w:fldCharType="end"/>
      </w:r>
      <w:r w:rsidR="00DA622D" w:rsidRPr="00A858D5">
        <w:rPr>
          <w:lang w:val="en-GB"/>
        </w:rPr>
        <w:t>.</w:t>
      </w:r>
      <w:r w:rsidR="009308DA" w:rsidRPr="00A858D5">
        <w:rPr>
          <w:lang w:val="en-GB"/>
        </w:rPr>
        <w:t xml:space="preserve"> In contrast, when studying</w:t>
      </w:r>
      <w:r w:rsidR="002841EF" w:rsidRPr="00A858D5">
        <w:rPr>
          <w:lang w:val="en-GB"/>
        </w:rPr>
        <w:t xml:space="preserve"> green spaces and</w:t>
      </w:r>
      <w:r w:rsidR="009308DA" w:rsidRPr="00A858D5">
        <w:rPr>
          <w:lang w:val="en-GB"/>
        </w:rPr>
        <w:t xml:space="preserve"> depressive symptoms among pregnant women, no apparent effect modification by ethnicity was found </w:t>
      </w:r>
      <w:r w:rsidR="009308DA" w:rsidRPr="00A858D5">
        <w:rPr>
          <w:lang w:val="en-GB"/>
        </w:rPr>
        <w:fldChar w:fldCharType="begin" w:fldLock="1"/>
      </w:r>
      <w:r w:rsidR="00452D47">
        <w:rPr>
          <w:lang w:val="en-GB"/>
        </w:rPr>
        <w:instrText>ADDIN CSL_CITATION {"citationItems":[{"id":"ITEM-1","itemData":{"DOI":"10.1136/jech-2015-205954","author":[{"dropping-particle":"","family":"McEachan","given":"Rosemary R C","non-dropping-particle":"","parse-names":false,"suffix":""},{"dropping-particle":"","family":"Prady","given":"S L","non-dropping-particle":"","parse-names":false,"suffix":""},{"dropping-particle":"","family":"Smith","given":"G","non-dropping-particle":"","parse-names":false,"suffix":""},{"dropping-particle":"","family":"Fairley","given":"L","non-dropping-particle":"","parse-names":false,"suffix":""},{"dropping-particle":"","family":"Cabieses","given":"B","non-dropping-particle":"","parse-names":false,"suffix":""},{"dropping-particle":"","family":"Gidlow","given":"C","non-dropping-particle":"","parse-names":false,"suffix":""},{"dropping-particle":"","family":"Wright","given":"J","non-dropping-particle":"","parse-names":false,"suffix":""},{"dropping-particle":"","family":"Dadvand","given":"P","non-dropping-particle":"","parse-names":false,"suffix":""},{"dropping-particle":"Van","family":"Gent","given":"D","non-dropping-particle":"","parse-names":false,"suffix":""},{"dropping-particle":"","family":"Nieuwenhuijsen","given":"M J","non-dropping-particle":"","parse-names":false,"suffix":""},{"dropping-particle":"","family":"Royal","given":"Bradford","non-dropping-particle":"","parse-names":false,"suffix":""}],"container-title":"Journal of Epidemiology &amp; Community Health","id":"ITEM-1","issued":{"date-parts":[["2016"]]},"page":"253-259","title":"The association between green space and depressive symptoms in pregnant women : moderating roles of socioeconomic status and physical activity","type":"article-journal","volume":"70"},"uris":["http://www.mendeley.com/documents/?uuid=f6124147-4e1a-4796-b7e8-266fc9bb01ec"]}],"mendeley":{"formattedCitation":"(McEachan et al., 2016)","plainTextFormattedCitation":"(McEachan et al., 2016)","previouslyFormattedCitation":"(McEachan et al., 2016)"},"properties":{"noteIndex":0},"schema":"https://github.com/citation-style-language/schema/raw/master/csl-citation.json"}</w:instrText>
      </w:r>
      <w:r w:rsidR="009308DA" w:rsidRPr="00A858D5">
        <w:rPr>
          <w:lang w:val="en-GB"/>
        </w:rPr>
        <w:fldChar w:fldCharType="separate"/>
      </w:r>
      <w:r w:rsidR="009F0D48" w:rsidRPr="00113E16">
        <w:rPr>
          <w:noProof/>
          <w:lang w:val="en-GB"/>
        </w:rPr>
        <w:t>(McEachan et al., 2016)</w:t>
      </w:r>
      <w:r w:rsidR="009308DA" w:rsidRPr="00A858D5">
        <w:rPr>
          <w:lang w:val="en-GB"/>
        </w:rPr>
        <w:fldChar w:fldCharType="end"/>
      </w:r>
      <w:r w:rsidR="009308DA" w:rsidRPr="00A858D5">
        <w:rPr>
          <w:lang w:val="en-GB"/>
        </w:rPr>
        <w:t>.</w:t>
      </w:r>
      <w:r w:rsidR="00906C95" w:rsidRPr="00A858D5">
        <w:rPr>
          <w:lang w:val="en-GB"/>
        </w:rPr>
        <w:t xml:space="preserve"> </w:t>
      </w:r>
      <w:r w:rsidR="00D15B43" w:rsidRPr="00A858D5">
        <w:rPr>
          <w:lang w:val="en-GB"/>
        </w:rPr>
        <w:t>C</w:t>
      </w:r>
      <w:r w:rsidR="00C7184B" w:rsidRPr="00A858D5">
        <w:rPr>
          <w:lang w:val="en-GB"/>
        </w:rPr>
        <w:t>ompari</w:t>
      </w:r>
      <w:r w:rsidR="00D15B43" w:rsidRPr="00A858D5">
        <w:rPr>
          <w:lang w:val="en-GB"/>
        </w:rPr>
        <w:t>ng these results might be difficult however</w:t>
      </w:r>
      <w:r w:rsidR="00C7184B" w:rsidRPr="00A858D5">
        <w:rPr>
          <w:lang w:val="en-GB"/>
        </w:rPr>
        <w:t xml:space="preserve">, as the cultural background </w:t>
      </w:r>
      <w:r w:rsidR="003F6163" w:rsidRPr="00A858D5">
        <w:rPr>
          <w:lang w:val="en-GB"/>
        </w:rPr>
        <w:t xml:space="preserve">of </w:t>
      </w:r>
      <w:r w:rsidR="000A3285" w:rsidRPr="00A858D5">
        <w:rPr>
          <w:lang w:val="en-GB"/>
        </w:rPr>
        <w:t xml:space="preserve">the </w:t>
      </w:r>
      <w:r w:rsidR="003F6163" w:rsidRPr="00A858D5">
        <w:rPr>
          <w:lang w:val="en-GB"/>
        </w:rPr>
        <w:t>studied groups and the assessed health outcomes are</w:t>
      </w:r>
      <w:r w:rsidR="000A3285" w:rsidRPr="00A858D5">
        <w:rPr>
          <w:lang w:val="en-GB"/>
        </w:rPr>
        <w:t xml:space="preserve"> </w:t>
      </w:r>
      <w:r w:rsidR="00D15B43" w:rsidRPr="00A858D5">
        <w:rPr>
          <w:lang w:val="en-GB"/>
        </w:rPr>
        <w:t>very different</w:t>
      </w:r>
      <w:r w:rsidR="007746B7" w:rsidRPr="00A858D5">
        <w:rPr>
          <w:lang w:val="en-GB"/>
        </w:rPr>
        <w:t>.</w:t>
      </w:r>
    </w:p>
    <w:p w14:paraId="69201D8F" w14:textId="62A97F93" w:rsidR="00FC3F31" w:rsidRPr="00CF4278" w:rsidRDefault="005E0471" w:rsidP="006F0CE5">
      <w:pPr>
        <w:rPr>
          <w:lang w:val="en-GB"/>
        </w:rPr>
      </w:pPr>
      <w:r w:rsidRPr="00A858D5">
        <w:rPr>
          <w:color w:val="000000" w:themeColor="text1"/>
          <w:lang w:val="en-GB"/>
        </w:rPr>
        <w:t>From the</w:t>
      </w:r>
      <w:r w:rsidR="00D10757" w:rsidRPr="00A858D5">
        <w:rPr>
          <w:color w:val="000000" w:themeColor="text1"/>
          <w:lang w:val="en-GB"/>
        </w:rPr>
        <w:t xml:space="preserve"> residents originating from LMIC in our study</w:t>
      </w:r>
      <w:r w:rsidRPr="00A858D5">
        <w:rPr>
          <w:color w:val="000000" w:themeColor="text1"/>
          <w:lang w:val="en-GB"/>
        </w:rPr>
        <w:t xml:space="preserve">, </w:t>
      </w:r>
      <w:r w:rsidR="00040B90" w:rsidRPr="00A858D5">
        <w:rPr>
          <w:color w:val="000000" w:themeColor="text1"/>
          <w:lang w:val="en-GB"/>
        </w:rPr>
        <w:t>almost 50%</w:t>
      </w:r>
      <w:r w:rsidR="002461AC" w:rsidRPr="00A858D5">
        <w:rPr>
          <w:color w:val="000000" w:themeColor="text1"/>
          <w:lang w:val="en-GB"/>
        </w:rPr>
        <w:t xml:space="preserve"> came from </w:t>
      </w:r>
      <w:r w:rsidR="00D10757" w:rsidRPr="00A858D5">
        <w:rPr>
          <w:color w:val="000000" w:themeColor="text1"/>
          <w:lang w:val="en-GB"/>
        </w:rPr>
        <w:t>Morocco</w:t>
      </w:r>
      <w:r w:rsidR="002461AC" w:rsidRPr="00A858D5">
        <w:rPr>
          <w:color w:val="000000" w:themeColor="text1"/>
          <w:lang w:val="en-GB"/>
        </w:rPr>
        <w:t xml:space="preserve"> and</w:t>
      </w:r>
      <w:r w:rsidR="00040B90" w:rsidRPr="00A858D5">
        <w:rPr>
          <w:color w:val="000000" w:themeColor="text1"/>
          <w:lang w:val="en-GB"/>
        </w:rPr>
        <w:t xml:space="preserve"> 15% from</w:t>
      </w:r>
      <w:r w:rsidR="002461AC" w:rsidRPr="00A858D5">
        <w:rPr>
          <w:color w:val="000000" w:themeColor="text1"/>
          <w:lang w:val="en-GB"/>
        </w:rPr>
        <w:t xml:space="preserve"> Turkey.</w:t>
      </w:r>
      <w:r w:rsidR="00D10757" w:rsidRPr="00A858D5">
        <w:rPr>
          <w:color w:val="000000" w:themeColor="text1"/>
          <w:lang w:val="en-GB"/>
        </w:rPr>
        <w:t xml:space="preserve"> </w:t>
      </w:r>
      <w:r w:rsidR="00271B3A" w:rsidRPr="00A858D5">
        <w:rPr>
          <w:color w:val="000000" w:themeColor="text1"/>
          <w:lang w:val="en-GB"/>
        </w:rPr>
        <w:t>In Belgium,</w:t>
      </w:r>
      <w:r w:rsidR="00EF5CA6" w:rsidRPr="00A858D5">
        <w:rPr>
          <w:color w:val="000000" w:themeColor="text1"/>
          <w:lang w:val="en-GB"/>
        </w:rPr>
        <w:t xml:space="preserve"> men</w:t>
      </w:r>
      <w:r w:rsidR="00974A79" w:rsidRPr="00A858D5">
        <w:rPr>
          <w:color w:val="000000" w:themeColor="text1"/>
          <w:lang w:val="en-GB"/>
        </w:rPr>
        <w:t xml:space="preserve"> originating</w:t>
      </w:r>
      <w:r w:rsidR="00962EE3" w:rsidRPr="00A858D5">
        <w:rPr>
          <w:color w:val="000000" w:themeColor="text1"/>
          <w:lang w:val="en-GB"/>
        </w:rPr>
        <w:t xml:space="preserve"> from </w:t>
      </w:r>
      <w:r w:rsidR="002461AC" w:rsidRPr="00A858D5">
        <w:rPr>
          <w:color w:val="000000" w:themeColor="text1"/>
          <w:lang w:val="en-GB"/>
        </w:rPr>
        <w:t>these countries</w:t>
      </w:r>
      <w:r w:rsidR="00271B3A" w:rsidRPr="00A858D5">
        <w:rPr>
          <w:color w:val="000000" w:themeColor="text1"/>
          <w:lang w:val="en-GB"/>
        </w:rPr>
        <w:t xml:space="preserve"> arrived as guest labourers </w:t>
      </w:r>
      <w:r w:rsidR="008317B7" w:rsidRPr="00A858D5">
        <w:rPr>
          <w:color w:val="000000" w:themeColor="text1"/>
          <w:lang w:val="en-GB"/>
        </w:rPr>
        <w:t>in the post-war period and in the 1970s</w:t>
      </w:r>
      <w:r w:rsidR="00B54EA6" w:rsidRPr="00A858D5">
        <w:rPr>
          <w:color w:val="000000" w:themeColor="text1"/>
          <w:lang w:val="en-GB"/>
        </w:rPr>
        <w:t xml:space="preserve">, </w:t>
      </w:r>
      <w:r w:rsidR="00AF4B84" w:rsidRPr="00A858D5">
        <w:rPr>
          <w:color w:val="000000" w:themeColor="text1"/>
          <w:lang w:val="en-GB"/>
        </w:rPr>
        <w:t>and</w:t>
      </w:r>
      <w:r w:rsidR="00B54EA6" w:rsidRPr="00A858D5">
        <w:rPr>
          <w:color w:val="000000" w:themeColor="text1"/>
          <w:lang w:val="en-GB"/>
        </w:rPr>
        <w:t xml:space="preserve"> women </w:t>
      </w:r>
      <w:r w:rsidR="005B0AF6" w:rsidRPr="00A858D5">
        <w:rPr>
          <w:color w:val="000000" w:themeColor="text1"/>
          <w:lang w:val="en-GB"/>
        </w:rPr>
        <w:t>followed</w:t>
      </w:r>
      <w:r w:rsidR="00AF4B84" w:rsidRPr="00A858D5">
        <w:rPr>
          <w:color w:val="000000" w:themeColor="text1"/>
          <w:lang w:val="en-GB"/>
        </w:rPr>
        <w:t xml:space="preserve"> afterwards</w:t>
      </w:r>
      <w:r w:rsidR="005B0AF6" w:rsidRPr="00A858D5">
        <w:rPr>
          <w:color w:val="000000" w:themeColor="text1"/>
          <w:lang w:val="en-GB"/>
        </w:rPr>
        <w:t xml:space="preserve"> for</w:t>
      </w:r>
      <w:r w:rsidR="00AF4B84" w:rsidRPr="00A858D5">
        <w:rPr>
          <w:color w:val="000000" w:themeColor="text1"/>
          <w:lang w:val="en-GB"/>
        </w:rPr>
        <w:t xml:space="preserve"> family reunification</w:t>
      </w:r>
      <w:r w:rsidR="00CE608B" w:rsidRPr="00A858D5">
        <w:rPr>
          <w:color w:val="000000" w:themeColor="text1"/>
          <w:lang w:val="en-GB"/>
        </w:rPr>
        <w:t xml:space="preserve"> </w:t>
      </w:r>
      <w:r w:rsidR="00CE608B" w:rsidRPr="00A858D5">
        <w:rPr>
          <w:color w:val="000000" w:themeColor="text1"/>
          <w:lang w:val="en-GB"/>
        </w:rPr>
        <w:fldChar w:fldCharType="begin" w:fldLock="1"/>
      </w:r>
      <w:r w:rsidR="00452D47">
        <w:rPr>
          <w:color w:val="000000" w:themeColor="text1"/>
          <w:lang w:val="en-GB"/>
        </w:rPr>
        <w:instrText>ADDIN CSL_CITATION {"citationItems":[{"id":"ITEM-1","itemData":{"DOI":"10.1093/eurpub/ckw159","author":[{"dropping-particle":"","family":"Bauwelinck","given":"Mariska","non-dropping-particle":"","parse-names":false,"suffix":""},{"dropping-particle":"","family":"Deboosere","given":"Patrick","non-dropping-particle":"","parse-names":false,"suffix":""},{"dropping-particle":"","family":"Willaert","given":"Didier","non-dropping-particle":"","parse-names":false,"suffix":""},{"dropping-particle":"","family":"Vandenheede","given":"Hadewijch","non-dropping-particle":"","parse-names":false,"suffix":""}],"container-title":"The European Journal of Public Health","id":"ITEM-1","issue":"1","issued":{"date-parts":[["2016"]]},"page":"111-116","title":"Suicide mortality in Belgium at the beginning of the 21st century: differences according to migrant background","type":"article-journal","volume":"27"},"uris":["http://www.mendeley.com/documents/?uuid=60f74f31-97be-49a7-96bd-3e9a4d9d38bc"]}],"mendeley":{"formattedCitation":"(Bauwelinck et al., 2016)","plainTextFormattedCitation":"(Bauwelinck et al., 2016)","previouslyFormattedCitation":"(Bauwelinck et al., 2016)"},"properties":{"noteIndex":0},"schema":"https://github.com/citation-style-language/schema/raw/master/csl-citation.json"}</w:instrText>
      </w:r>
      <w:r w:rsidR="00CE608B" w:rsidRPr="00A858D5">
        <w:rPr>
          <w:color w:val="000000" w:themeColor="text1"/>
          <w:lang w:val="en-GB"/>
        </w:rPr>
        <w:fldChar w:fldCharType="separate"/>
      </w:r>
      <w:r w:rsidR="00CE608B" w:rsidRPr="00113E16">
        <w:rPr>
          <w:noProof/>
          <w:color w:val="000000" w:themeColor="text1"/>
          <w:lang w:val="en-GB"/>
        </w:rPr>
        <w:t>(Bauwelinck et al., 2016)</w:t>
      </w:r>
      <w:r w:rsidR="00CE608B" w:rsidRPr="00A858D5">
        <w:rPr>
          <w:color w:val="000000" w:themeColor="text1"/>
          <w:lang w:val="en-GB"/>
        </w:rPr>
        <w:fldChar w:fldCharType="end"/>
      </w:r>
      <w:r w:rsidR="00223E2B" w:rsidRPr="00A858D5">
        <w:rPr>
          <w:color w:val="000000" w:themeColor="text1"/>
          <w:lang w:val="en-GB"/>
        </w:rPr>
        <w:t>.</w:t>
      </w:r>
      <w:r w:rsidR="002078F7" w:rsidRPr="00A858D5">
        <w:rPr>
          <w:color w:val="000000" w:themeColor="text1"/>
          <w:lang w:val="en-GB"/>
        </w:rPr>
        <w:t xml:space="preserve"> These groups </w:t>
      </w:r>
      <w:r w:rsidR="006E21DE" w:rsidRPr="00A858D5">
        <w:rPr>
          <w:lang w:val="en-GB"/>
        </w:rPr>
        <w:t>settled in working-class neighbo</w:t>
      </w:r>
      <w:r w:rsidR="00A1460D" w:rsidRPr="00A858D5">
        <w:rPr>
          <w:lang w:val="en-GB"/>
        </w:rPr>
        <w:t>u</w:t>
      </w:r>
      <w:r w:rsidR="006E21DE" w:rsidRPr="00A858D5">
        <w:rPr>
          <w:lang w:val="en-GB"/>
        </w:rPr>
        <w:t>rhoods located in the inner city</w:t>
      </w:r>
      <w:r w:rsidR="00E457F6" w:rsidRPr="00A858D5">
        <w:rPr>
          <w:lang w:val="en-GB"/>
        </w:rPr>
        <w:t>,</w:t>
      </w:r>
      <w:r w:rsidR="006E21DE" w:rsidRPr="00A858D5">
        <w:rPr>
          <w:lang w:val="en-GB"/>
        </w:rPr>
        <w:t xml:space="preserve"> characterized by inexpensive low housing quality, poor infrastructure and demographic pressure </w:t>
      </w:r>
      <w:r w:rsidR="006E21DE" w:rsidRPr="00A858D5">
        <w:rPr>
          <w:lang w:val="en-GB"/>
        </w:rPr>
        <w:fldChar w:fldCharType="begin" w:fldLock="1"/>
      </w:r>
      <w:r w:rsidR="00452D47">
        <w:rPr>
          <w:lang w:val="en-GB"/>
        </w:rPr>
        <w:instrText>ADDIN CSL_CITATION {"citationItems":[{"id":"ITEM-1","itemData":{"DOI":"10.4000/brussels.1338","abstract":"This article is aimed at defining the role of migratory movements in the dynamics of the sociodemographic transformation of neighbourhoods in the Brussels-Capital Region, and at making some observations in terms of political implications. There are several significant summarising elements which may be drawn from this analysis of complex migratory movements in the Region. The poorest territories in the city – the “poor area” – are at the crossroads of diverging migratory movements, marked in particular by the arrival of new immigrants from poor or intermediate countries and the departure of resident populations. Nevertheless, the analysis also shows that these neighbourhoods may not be reduced to having a transit function, given that a significant proportion of their population remains there. In contrast, the richest parts of the city, located in the southeast quadrant of the Region, have experienced much less massive migratory movements. They are not home to newcomers or to households leaving the disadvantaged areas of the city. They thus appear to be closed for the most part to population movements.Cet article vise à cerner le rôle des mouvements migratoires dans les dynamiques de transformation socio-démographique des quartiers en région de Bruxelles-Capitale et à en tirer quelques réflexions en termes d’implications politiques. De cette analyse des mouvements migratoires complexes que connaît la Région, on peut tirer quelques éléments synthétiques forts. Les territoires les plus pauvres de la ville, dits du « croissant pauvre », sont à la croisée de mouvements migratoires divergents, marqués en particulier par l’arrivée de nouveaux immigrés issus de pays pauvres ou intermédiaires et le départ de populations résidentes. Néanmoins, l’analyse montre aussi que ces quartiers ne peuvent être entièrement réduits à une fonction de transit étant donné qu’une partie importante de leur population y demeure. Par opposition, les parties les plus riches de la ville, situées dans le cadrant sud-est de la Région, connaissent des mouvements migratoires beaucoup moins massifs. Ceux-ci n’accueillent ni les primo-arrivants, ni les ménages quittant les zones défavorisées de la ville. Ils apparaissent de la sorte largement fermés aux mouvements de population.Dit artikel onderzoekt de rol van de migratiebewegingen in de dynamische processen die leiden tot de sociaaldemografische transformatie van de wijken in het Brussels Hoofdstedelijk Gewest en formuleert enkele beschouw…","author":[{"dropping-particle":"","family":"Hamme","given":"Gilles","non-dropping-particle":"Van","parse-names":false,"suffix":""},{"dropping-particle":"","family":"Grippa","given":"Taïs","non-dropping-particle":"","parse-names":false,"suffix":""},{"dropping-particle":"","family":"Criekingen","given":"Mathieu","non-dropping-particle":"Van","parse-names":false,"suffix":""}],"container-title":"Brussels Studies","id":"ITEM-1","issue":"97","issued":{"date-parts":[["2016"]]},"title":"Migratory movements and dynamics of neighbourhoods in Brussels","type":"article-journal"},"uris":["http://www.mendeley.com/documents/?uuid=79dceec8-e838-4d14-af8b-fac4e55ee314"]}],"mendeley":{"formattedCitation":"(Van Hamme et al., 2016)","plainTextFormattedCitation":"(Van Hamme et al., 2016)","previouslyFormattedCitation":"(Van Hamme et al., 2016)"},"properties":{"noteIndex":0},"schema":"https://github.com/citation-style-language/schema/raw/master/csl-citation.json"}</w:instrText>
      </w:r>
      <w:r w:rsidR="006E21DE" w:rsidRPr="00A858D5">
        <w:rPr>
          <w:lang w:val="en-GB"/>
        </w:rPr>
        <w:fldChar w:fldCharType="separate"/>
      </w:r>
      <w:r w:rsidR="00113E16" w:rsidRPr="00113E16">
        <w:rPr>
          <w:noProof/>
          <w:lang w:val="en-GB"/>
        </w:rPr>
        <w:t>(Van Hamme et al., 2016)</w:t>
      </w:r>
      <w:r w:rsidR="006E21DE" w:rsidRPr="00A858D5">
        <w:rPr>
          <w:lang w:val="en-GB"/>
        </w:rPr>
        <w:fldChar w:fldCharType="end"/>
      </w:r>
      <w:r w:rsidR="006E21DE" w:rsidRPr="00A858D5">
        <w:rPr>
          <w:lang w:val="en-GB"/>
        </w:rPr>
        <w:t>. Within these areas, opportunities of exposure to green spaces are relatively limited.</w:t>
      </w:r>
      <w:r w:rsidR="000F61BC" w:rsidRPr="00A858D5">
        <w:rPr>
          <w:lang w:val="en-GB"/>
        </w:rPr>
        <w:t xml:space="preserve"> </w:t>
      </w:r>
      <w:r w:rsidR="00601EB9" w:rsidRPr="00A858D5">
        <w:rPr>
          <w:lang w:val="en-GB"/>
        </w:rPr>
        <w:t>In our study, median levels of very good perceived neighbo</w:t>
      </w:r>
      <w:r w:rsidR="00A1460D" w:rsidRPr="00A858D5">
        <w:rPr>
          <w:lang w:val="en-GB"/>
        </w:rPr>
        <w:t>u</w:t>
      </w:r>
      <w:r w:rsidR="00601EB9" w:rsidRPr="00A858D5">
        <w:rPr>
          <w:lang w:val="en-GB"/>
        </w:rPr>
        <w:t>rhood greenness were 28% (IQR: 14–42) among Belgians, 22% (IQR: 9–37) among residents from other HIC and 9% (IQR: 5–24) among residents from LMIC.</w:t>
      </w:r>
      <w:r w:rsidR="00F872C6" w:rsidRPr="00A858D5">
        <w:rPr>
          <w:lang w:val="en-GB"/>
        </w:rPr>
        <w:t xml:space="preserve"> </w:t>
      </w:r>
      <w:r w:rsidR="00855699" w:rsidRPr="00A858D5">
        <w:rPr>
          <w:lang w:val="en-GB"/>
        </w:rPr>
        <w:t xml:space="preserve">The </w:t>
      </w:r>
      <w:r w:rsidR="00287E03" w:rsidRPr="00A858D5">
        <w:rPr>
          <w:lang w:val="en-GB"/>
        </w:rPr>
        <w:t xml:space="preserve">differences between women and men </w:t>
      </w:r>
      <w:r w:rsidR="00010B59" w:rsidRPr="00A858D5">
        <w:rPr>
          <w:lang w:val="en-GB"/>
        </w:rPr>
        <w:t xml:space="preserve">in the associations between green spaces and health </w:t>
      </w:r>
      <w:r w:rsidR="00E872CE" w:rsidRPr="00A858D5">
        <w:rPr>
          <w:lang w:val="en-GB"/>
        </w:rPr>
        <w:t>in</w:t>
      </w:r>
      <w:r w:rsidR="00287E03" w:rsidRPr="00A858D5">
        <w:rPr>
          <w:lang w:val="en-GB"/>
        </w:rPr>
        <w:t xml:space="preserve"> this group are </w:t>
      </w:r>
      <w:r w:rsidR="00E872CE" w:rsidRPr="00A858D5">
        <w:rPr>
          <w:lang w:val="en-GB"/>
        </w:rPr>
        <w:t>therefore</w:t>
      </w:r>
      <w:r w:rsidR="00287E03" w:rsidRPr="00A858D5">
        <w:rPr>
          <w:lang w:val="en-GB"/>
        </w:rPr>
        <w:t xml:space="preserve"> intriguing.</w:t>
      </w:r>
      <w:r w:rsidR="00DE3671" w:rsidRPr="00A858D5">
        <w:rPr>
          <w:lang w:val="en-GB"/>
        </w:rPr>
        <w:t xml:space="preserve"> Because increasing the buffer size strengthen</w:t>
      </w:r>
      <w:r w:rsidR="00C51E35" w:rsidRPr="00A858D5">
        <w:rPr>
          <w:lang w:val="en-GB"/>
        </w:rPr>
        <w:t>ed</w:t>
      </w:r>
      <w:r w:rsidR="00DE3671" w:rsidRPr="00A858D5">
        <w:rPr>
          <w:lang w:val="en-GB"/>
        </w:rPr>
        <w:t xml:space="preserve"> the inverse associations</w:t>
      </w:r>
      <w:r w:rsidR="002E503C" w:rsidRPr="00A858D5">
        <w:rPr>
          <w:lang w:val="en-GB"/>
        </w:rPr>
        <w:t xml:space="preserve"> found between </w:t>
      </w:r>
      <w:r w:rsidR="007F3DCB" w:rsidRPr="00A858D5">
        <w:rPr>
          <w:lang w:val="en-GB"/>
        </w:rPr>
        <w:t>residential UGS</w:t>
      </w:r>
      <w:r w:rsidR="002E503C" w:rsidRPr="00A858D5">
        <w:rPr>
          <w:lang w:val="en-GB"/>
        </w:rPr>
        <w:t xml:space="preserve"> and both health outcomes</w:t>
      </w:r>
      <w:r w:rsidR="00F16AB7" w:rsidRPr="00A858D5">
        <w:rPr>
          <w:lang w:val="en-GB"/>
        </w:rPr>
        <w:t xml:space="preserve"> in women</w:t>
      </w:r>
      <w:r w:rsidR="009E1BEE" w:rsidRPr="00A858D5">
        <w:rPr>
          <w:lang w:val="en-GB"/>
        </w:rPr>
        <w:t xml:space="preserve"> originating from LMIC</w:t>
      </w:r>
      <w:r w:rsidR="002E503C" w:rsidRPr="00A858D5">
        <w:rPr>
          <w:lang w:val="en-GB"/>
        </w:rPr>
        <w:t>,</w:t>
      </w:r>
      <w:r w:rsidR="00874A4F" w:rsidRPr="00A858D5">
        <w:rPr>
          <w:lang w:val="en-GB"/>
        </w:rPr>
        <w:t xml:space="preserve"> </w:t>
      </w:r>
      <w:r w:rsidR="002E503C" w:rsidRPr="00A858D5">
        <w:rPr>
          <w:lang w:val="en-GB"/>
        </w:rPr>
        <w:t>w</w:t>
      </w:r>
      <w:r w:rsidR="00F872C6" w:rsidRPr="00A858D5">
        <w:rPr>
          <w:lang w:val="en-GB"/>
        </w:rPr>
        <w:t xml:space="preserve">e </w:t>
      </w:r>
      <w:r w:rsidR="00E872CE" w:rsidRPr="00A858D5">
        <w:rPr>
          <w:lang w:val="en-GB"/>
        </w:rPr>
        <w:t>venture</w:t>
      </w:r>
      <w:r w:rsidR="00F872C6" w:rsidRPr="00A858D5">
        <w:rPr>
          <w:lang w:val="en-GB"/>
        </w:rPr>
        <w:t xml:space="preserve"> </w:t>
      </w:r>
      <w:proofErr w:type="gramStart"/>
      <w:r w:rsidR="00F872C6" w:rsidRPr="00A858D5">
        <w:rPr>
          <w:lang w:val="en-GB"/>
        </w:rPr>
        <w:t xml:space="preserve">that </w:t>
      </w:r>
      <w:r w:rsidR="00287E03" w:rsidRPr="00A858D5">
        <w:rPr>
          <w:lang w:val="en-GB"/>
        </w:rPr>
        <w:t>men</w:t>
      </w:r>
      <w:proofErr w:type="gramEnd"/>
      <w:r w:rsidR="00287E03" w:rsidRPr="00A858D5">
        <w:rPr>
          <w:lang w:val="en-GB"/>
        </w:rPr>
        <w:t xml:space="preserve"> </w:t>
      </w:r>
      <w:r w:rsidR="009E1BEE" w:rsidRPr="00A858D5">
        <w:rPr>
          <w:lang w:val="en-GB"/>
        </w:rPr>
        <w:t>from</w:t>
      </w:r>
      <w:r w:rsidR="00287E03" w:rsidRPr="00A858D5">
        <w:rPr>
          <w:lang w:val="en-GB"/>
        </w:rPr>
        <w:t xml:space="preserve"> </w:t>
      </w:r>
      <w:r w:rsidR="009E1BEE" w:rsidRPr="00A858D5">
        <w:rPr>
          <w:lang w:val="en-GB"/>
        </w:rPr>
        <w:t xml:space="preserve">the same migrant </w:t>
      </w:r>
      <w:r w:rsidR="003F2472" w:rsidRPr="00A858D5">
        <w:rPr>
          <w:lang w:val="en-GB"/>
        </w:rPr>
        <w:t>background</w:t>
      </w:r>
      <w:r w:rsidR="00287E03" w:rsidRPr="00A858D5">
        <w:rPr>
          <w:lang w:val="en-GB"/>
        </w:rPr>
        <w:t xml:space="preserve"> might </w:t>
      </w:r>
      <w:r w:rsidR="0003310C" w:rsidRPr="00A858D5">
        <w:rPr>
          <w:lang w:val="en-GB"/>
        </w:rPr>
        <w:t>have</w:t>
      </w:r>
      <w:r w:rsidR="00287E03" w:rsidRPr="00A858D5">
        <w:rPr>
          <w:lang w:val="en-GB"/>
        </w:rPr>
        <w:t xml:space="preserve"> </w:t>
      </w:r>
      <w:r w:rsidR="007610AF" w:rsidRPr="00A858D5">
        <w:rPr>
          <w:lang w:val="en-GB"/>
        </w:rPr>
        <w:t>less opportunities</w:t>
      </w:r>
      <w:r w:rsidR="003F2472" w:rsidRPr="00A858D5">
        <w:rPr>
          <w:lang w:val="en-GB"/>
        </w:rPr>
        <w:t xml:space="preserve"> or </w:t>
      </w:r>
      <w:r w:rsidR="003F2472" w:rsidRPr="00CF4278">
        <w:rPr>
          <w:lang w:val="en-GB"/>
        </w:rPr>
        <w:t>motivations</w:t>
      </w:r>
      <w:r w:rsidR="007610AF" w:rsidRPr="00CF4278">
        <w:rPr>
          <w:lang w:val="en-GB"/>
        </w:rPr>
        <w:t xml:space="preserve"> to</w:t>
      </w:r>
      <w:r w:rsidR="00C51E35" w:rsidRPr="00CF4278">
        <w:rPr>
          <w:lang w:val="en-GB"/>
        </w:rPr>
        <w:t xml:space="preserve"> travel to </w:t>
      </w:r>
      <w:r w:rsidR="003F2472" w:rsidRPr="00CF4278">
        <w:rPr>
          <w:lang w:val="en-GB"/>
        </w:rPr>
        <w:t xml:space="preserve">greener </w:t>
      </w:r>
      <w:r w:rsidR="00C51E35" w:rsidRPr="00CF4278">
        <w:rPr>
          <w:lang w:val="en-GB"/>
        </w:rPr>
        <w:t>areas</w:t>
      </w:r>
      <w:r w:rsidR="008324B4" w:rsidRPr="00CF4278">
        <w:rPr>
          <w:lang w:val="en-GB"/>
        </w:rPr>
        <w:t>.</w:t>
      </w:r>
    </w:p>
    <w:p w14:paraId="4C50DDA0" w14:textId="0290D618" w:rsidR="00977505" w:rsidRPr="00CF4278" w:rsidRDefault="005B21FA" w:rsidP="00C07106">
      <w:pPr>
        <w:rPr>
          <w:szCs w:val="22"/>
          <w:lang w:val="en-GB"/>
        </w:rPr>
      </w:pPr>
      <w:r w:rsidRPr="00CF4278">
        <w:rPr>
          <w:lang w:val="en-GB"/>
        </w:rPr>
        <w:t>We only found a relatively small mediation effect with PM</w:t>
      </w:r>
      <w:r w:rsidRPr="00CF4278">
        <w:rPr>
          <w:vertAlign w:val="subscript"/>
          <w:lang w:val="en-GB"/>
        </w:rPr>
        <w:t>10</w:t>
      </w:r>
      <w:r w:rsidRPr="00CF4278">
        <w:rPr>
          <w:lang w:val="en-GB"/>
        </w:rPr>
        <w:t xml:space="preserve"> on UGS estimates in relation to poor self-perceived health, which is similar to findings of most prior studies </w:t>
      </w:r>
      <w:r w:rsidRPr="00CF4278">
        <w:rPr>
          <w:lang w:val="en-GB"/>
        </w:rPr>
        <w:fldChar w:fldCharType="begin" w:fldLock="1"/>
      </w:r>
      <w:r w:rsidRPr="00CF4278">
        <w:rPr>
          <w:lang w:val="en-GB"/>
        </w:rPr>
        <w:instrText>ADDIN CSL_CITATION {"citationItems":[{"id":"ITEM-1","itemData":{"DOI":"https://doi.org/10.1016/j.envint.2020.106365","ISSN":"0160-4120","abstract":"Background Epidemiological studies suggest that residing close to green space reduce mortality rates. We investigated the relationship between long-term exposure to residential green space and non-accidental and cardio-respiratory mortality. Methods We linked the Belgian 2001 census to population and mortality register follow-up data (2001–2011) among adults aged 30 years and older residing in the five largest urban areas in Belgium (n = 2,185,170 and mean follow-up time 9.4 years). Residential addresses were available at baseline. Exposure to green space was defined as 1) surrounding greenness (2006) [normalized difference vegetation index (NDVI) and modified soil-adjusted vegetation index (MSAVI2)] within buffers of 300 m, 500 m, and 1000 m; 2) surrounding green space (2006) [Urban Atlas (UA) and CORINE Land Cover (CLC)] within buffers of 300 m, 500 m, and 1000 m; and 3) perceived neighborhood green space (2001). Cox proportional hazards models with age as the underlying time scale were used to probe into cause-specific mortality (non-accidental, respiratory, COPD, cardiovascular, ischemic heart disease (IHD), and cerebrovascular). Models were adjusted for several sociodemographic variables (age, sex, marital status, country of birth, education level, employment status, and area mean income). We further adjusted our main models for annual mean (2010) values of ambient air pollution (PM2.5, PM10, NO2 and BC, one at a time), and we additionally explored potential mediation with the aforementioned pollutants. Results Higher degrees of residential green space were associated with lower rates of non-accidental and respiratory mortality. In fully adjusted models, hazard ratios (HR) per interquartile range (IQR) increase in NDVI 500 m buffer (IQR: 0.24) and UA 500 m buffer (IQR: 0.31) were 0.97 (95%CI 0.96–0.98) and 0.99 (95%CI 0.98–0.99) for non-accidental mortality, and 0.95 (95%CI 0.93–0.98) and 0.97 (95%CI 0.96–0.99) for respiratory mortality. For perceived neighborhood green space, HRs were 0.93 (95%CI 0.92–0.94) and 0.94 (95%CI 0.91–0.98) for non-accidental and respiratory mortality, respectively. The observed lower mortality risks associated with residential exposure to green space were largely independent from exposure to ambient air pollutants. Conclusion We observed evidence for lower mortality risk in associations with long-term residential exposure to green space in most but not all studied causes of death in a large representative cohort for the…","author":[{"dropping-particle":"","family":"Bauwelinck","given":"Mariska","non-dropping-particle":"","parse-names":false,"suffix":""},{"dropping-particle":"","family":"Casas","given":"Lidia","non-dropping-particle":"","parse-names":false,"suffix":""},{"dropping-particle":"","family":"Nawrot","given":"Tim S","non-dropping-particle":"","parse-names":false,"suffix":""},{"dropping-particle":"","family":"Nemery","given":"Benoit","non-dropping-particle":"","parse-names":false,"suffix":""},{"dropping-particle":"","family":"Trabelsi","given":"Sonia","non-dropping-particle":"","parse-names":false,"suffix":""},{"dropping-particle":"","family":"Thomas","given":"Isabelle","non-dropping-particle":"","parse-names":false,"suffix":""},{"dropping-particle":"","family":"Aerts","given":"Raf","non-dropping-particle":"","parse-names":false,"suffix":""},{"dropping-particle":"","family":"Lefebvre","given":"Wouter","non-dropping-particle":"","parse-names":false,"suffix":""},{"dropping-particle":"","family":"Vanpoucke","given":"Charlotte","non-dropping-particle":"","parse-names":false,"suffix":""},{"dropping-particle":"","family":"Nieuwenhuyse","given":"An","non-dropping-particle":"Van","parse-names":false,"suffix":""},{"dropping-particle":"","family":"Deboosere","given":"Patrick","non-dropping-particle":"","parse-names":false,"suffix":""},{"dropping-particle":"","family":"Vandenheede","given":"Hadewijch","non-dropping-particle":"","parse-names":false,"suffix":""}],"container-title":"Environment International","id":"ITEM-1","issued":{"date-parts":[["2021"]]},"page":"106365","title":"Residing in urban areas with higher green space is associated with lower mortality risk: A census-based cohort study with ten years of follow-up","type":"article-journal","volume":"148"},"uris":["http://www.mendeley.com/documents/?uuid=0c494c14-c951-40e8-811e-08967e2b217f"]},{"id":"ITEM-2","itemData":{"DOI":"https://doi.org/10.1016/j.envres.2019.108751","ISSN":"0013-9351","abstract":"Self-perceived general health (SGH) is one of the most inclusive and widely used measures of health status and a powerful predictor of mortality. However, only a limited number of studies evaluated associations of combined environmental exposures on SGH. Our aim was to evaluate associations of combined residential exposure to surrounding green, air pollution and traffic noise with poor SGH in the Netherlands. We linked data on long-term residential exposure to surrounding green based on the Normalized Difference Vegetation Index (NDVI) and a land-use database (TOP10NL), air pollutant concentrations (including particulate matter (PM10, PM2.5), and nitrogen dioxide (NO2)) and road- and rail-traffic noise with a Dutch national health survey, resulting in a study population of 354,827 adults. We analyzed associations of single and combined exposures with poor SGH. In single-exposure models, NDVI within 300 m was inversely associated with poor SGH [odds ratio (OR) = 0.91, 95% CI: 0.89, 0.94 per IQR increase], while NO2 was positively associated with poor SGH (OR = 1.07, 95% CI: 1.04, 1.11 per IQR increase). In multi-exposure models, associations with surrounding green and air pollution generally remained, but attenuated. Joint odds ratios (JOR) of combined exposure to air pollution, rail-traffic noise and decreased surrounding green were higher than the odds ratios of single-exposure models. Studies including only one of these correlated exposures may overestimate the risk of poor SGH attributed to the studied exposure, while underestimating the risk of combined exposures.","author":[{"dropping-particle":"","family":"Klompmaker","given":"Jochem O","non-dropping-particle":"","parse-names":false,"suffix":""},{"dropping-particle":"","family":"Janssen","given":"Nicole A H","non-dropping-particle":"","parse-names":false,"suffix":""},{"dropping-particle":"","family":"Bloemsma","given":"Lizan D","non-dropping-particle":"","parse-names":false,"suffix":""},{"dropping-particle":"","family":"Gehring","given":"Ulrike","non-dropping-particle":"","parse-names":false,"suffix":""},{"dropping-particle":"","family":"Wijga","given":"Alet H","non-dropping-particle":"","parse-names":false,"suffix":""},{"dropping-particle":"","family":"Brink","given":"Carolien","non-dropping-particle":"van den","parse-names":false,"suffix":""},{"dropping-particle":"","family":"Lebret","given":"Erik","non-dropping-particle":"","parse-names":false,"suffix":""},{"dropping-particle":"","family":"Brunekreef","given":"Bert","non-dropping-particle":"","parse-names":false,"suffix":""},{"dropping-particle":"","family":"Hoek","given":"Gerard","non-dropping-particle":"","parse-names":false,"suffix":""}],"container-title":"Environmental Research","id":"ITEM-2","issued":{"date-parts":[["2019"]]},"page":"108751","title":"Residential surrounding green, air pollution, traffic noise and self-perceived general health","type":"article-journal","volume":"179"},"uris":["http://www.mendeley.com/documents/?uuid=9d007e22-e914-48d2-a036-ecfc44a79d57"]},{"id":"ITEM-3","itemData":{"DOI":"10.1016/j.envint.2017.08.012","ISSN":"0160-4120","author":[{"dropping-particle":"","family":"Vienneau","given":"Danielle","non-dropping-particle":"","parse-names":false,"suffix":""},{"dropping-particle":"De","family":"Hoogh","given":"Kees","non-dropping-particle":"","parse-names":false,"suffix":""},{"dropping-particle":"","family":"Faeh","given":"David","non-dropping-particle":"","parse-names":false,"suffix":""},{"dropping-particle":"","family":"Kaufmann","given":"Marco","non-dropping-particle":"","parse-names":false,"suffix":""},{"dropping-particle":"","family":"Marc","given":"Jean","non-dropping-particle":"","parse-names":false,"suffix":""},{"dropping-particle":"","family":"Röösli","given":"Martin","non-dropping-particle":"","parse-names":false,"suffix":""},{"dropping-particle":"","family":"Snc","given":"The","non-dropping-particle":"","parse-names":false,"suffix":""},{"dropping-particle":"","family":"Group","given":"Study","non-dropping-particle":"","parse-names":false,"suffix":""}],"container-title":"Environment International","id":"ITEM-3","issue":"May","issued":{"date-parts":[["2017"]]},"page":"176-184","publisher":"Elsevier","title":"More than clean air and tranquillity : Residential green is independently associated with decreasing mortality","type":"article-journal","volume":"108"},"uris":["http://www.mendeley.com/documents/?uuid=874ebba8-39b4-4a64-b94a-6f75818a1ba8"]}],"mendeley":{"formattedCitation":"(Bauwelinck et al., 2021; Klompmaker et al., 2019; Vienneau et al., 2017)","plainTextFormattedCitation":"(Bauwelinck et al., 2021; Klompmaker et al., 2019; Vienneau et al., 2017)","previouslyFormattedCitation":"(Bauwelinck et al., 2021; Klompmaker et al., 2019; Vienneau et al., 2017)"},"properties":{"noteIndex":0},"schema":"https://github.com/citation-style-language/schema/raw/master/csl-citation.json"}</w:instrText>
      </w:r>
      <w:r w:rsidRPr="00CF4278">
        <w:rPr>
          <w:lang w:val="en-GB"/>
        </w:rPr>
        <w:fldChar w:fldCharType="separate"/>
      </w:r>
      <w:r w:rsidRPr="00CF4278">
        <w:rPr>
          <w:noProof/>
          <w:lang w:val="en-GB"/>
        </w:rPr>
        <w:t>(Bauwelinck et al., 2021; Klompmaker et al., 2019; Vienneau et al., 2017)</w:t>
      </w:r>
      <w:r w:rsidRPr="00CF4278">
        <w:rPr>
          <w:lang w:val="en-GB"/>
        </w:rPr>
        <w:fldChar w:fldCharType="end"/>
      </w:r>
      <w:r w:rsidRPr="00CF4278">
        <w:rPr>
          <w:lang w:val="en-GB"/>
        </w:rPr>
        <w:t>. We furthermore observed negative proportions of mediation effects for both BC and noise pollution. We suspect inconsistent mediation as signs between the direct and indirect effects were opposite (</w:t>
      </w:r>
      <w:r w:rsidRPr="00CF4278">
        <w:rPr>
          <w:i/>
          <w:iCs/>
          <w:lang w:val="en-GB"/>
        </w:rPr>
        <w:t>results not shown</w:t>
      </w:r>
      <w:r w:rsidRPr="00CF4278">
        <w:rPr>
          <w:lang w:val="en-GB"/>
        </w:rPr>
        <w:t xml:space="preserve">). Consequently, we considered interpretation of these negative mediation effects invalid. Two other comparable studies did identify noise pollution as a mediator in the relationship between green spaces and mortality </w:t>
      </w:r>
      <w:r w:rsidRPr="00CF4278">
        <w:rPr>
          <w:lang w:val="en-GB"/>
        </w:rPr>
        <w:fldChar w:fldCharType="begin" w:fldLock="1"/>
      </w:r>
      <w:r w:rsidR="00217AA0" w:rsidRPr="00CF4278">
        <w:rPr>
          <w:lang w:val="en-GB"/>
        </w:rPr>
        <w:instrText>ADDIN CSL_CITATION {"citationItems":[{"id":"ITEM-1","itemData":{"author":[{"dropping-particle":"","family":"Orioli","given":"Riccardo","non-dropping-particle":"","parse-names":false,"suffix":""},{"dropping-particle":"","family":"Antonucci","given":"Chiara","non-dropping-particle":"","parse-names":false,"suffix":""},{"dropping-particle":"","family":"Scortichini","given":"Matteo","non-dropping-particle":"","parse-names":false,"suffix":""},{"dropping-particle":"","family":"Cerza","given":"Francesco","non-dropping-particle":"","parse-names":false,"suffix":""},{"dropping-particle":"","family":"Marando","given":"Federica","non-dropping-particle":"","parse-names":false,"suffix":""},{"dropping-particle":"","family":"Ancona","given":"Carla","non-dropping-particle":"","parse-names":false,"suffix":""},{"dropping-particle":"","family":"Manes","given":"Fausto","non-dropping-particle":"","parse-names":false,"suffix":""},{"dropping-particle":"","family":"Davoli","given":"Marina","non-dropping-particle":"","parse-names":false,"suffix":""},{"dropping-particle":"","family":"Michelozzi","given":"Paola","non-dropping-particle":"","parse-names":false,"suffix":""},{"dropping-particle":"","family":"Forastiere","given":"Francesco","non-dropping-particle":"","parse-names":false,"suffix":""},{"dropping-particle":"","family":"Cesaroni","given":"Giulia","non-dropping-particle":"","parse-names":false,"suffix":""}],"container-title":"Environmental Health Perspectives","id":"ITEM-1","issue":"2","issued":{"date-parts":[["2019"]]},"page":"1-11","title":"Exposure to Residential Greenness as a Predictor of Cause-Specific Mortality and Stroke Incidence in the Rome Longitudinal Study","type":"article-journal","volume":"127"},"uris":["http://www.mendeley.com/documents/?uuid=70d5e676-5e6a-4de1-b39b-ea6a81bc9ad0"]},{"id":"ITEM-2","itemData":{"DOI":"10.1016/j.envint.2017.08.012","ISSN":"0160-4120","author":[{"dropping-particle":"","family":"Vienneau","given":"Danielle","non-dropping-particle":"","parse-names":false,"suffix":""},{"dropping-particle":"De","family":"Hoogh","given":"Kees","non-dropping-particle":"","parse-names":false,"suffix":""},{"dropping-particle":"","family":"Faeh","given":"David","non-dropping-particle":"","parse-names":false,"suffix":""},{"dropping-particle":"","family":"Kaufmann","given":"Marco","non-dropping-particle":"","parse-names":false,"suffix":""},{"dropping-particle":"","family":"Marc","given":"Jean","non-dropping-particle":"","parse-names":false,"suffix":""},{"dropping-particle":"","family":"Röösli","given":"Martin","non-dropping-particle":"","parse-names":false,"suffix":""},{"dropping-particle":"","family":"Snc","given":"The","non-dropping-particle":"","parse-names":false,"suffix":""},{"dropping-particle":"","family":"Group","given":"Study","non-dropping-particle":"","parse-names":false,"suffix":""}],"container-title":"Environment International","id":"ITEM-2","issue":"May","issued":{"date-parts":[["2017"]]},"page":"176-184","publisher":"Elsevier","title":"More than clean air and tranquillity : Residential green is independently associated with decreasing mortality","type":"article-journal","volume":"108"},"uris":["http://www.mendeley.com/documents/?uuid=874ebba8-39b4-4a64-b94a-6f75818a1ba8"]}],"mendeley":{"formattedCitation":"(Orioli et al., 2019; Vienneau et al., 2017)","plainTextFormattedCitation":"(Orioli et al., 2019; Vienneau et al., 2017)","previouslyFormattedCitation":"(Orioli et al., 2019; Vienneau et al., 2017)"},"properties":{"noteIndex":0},"schema":"https://github.com/citation-style-language/schema/raw/master/csl-citation.json"}</w:instrText>
      </w:r>
      <w:r w:rsidRPr="00CF4278">
        <w:rPr>
          <w:lang w:val="en-GB"/>
        </w:rPr>
        <w:fldChar w:fldCharType="separate"/>
      </w:r>
      <w:r w:rsidRPr="00CF4278">
        <w:rPr>
          <w:noProof/>
          <w:lang w:val="en-GB"/>
        </w:rPr>
        <w:t>(Orioli et al., 2019; Vienneau et al., 2017)</w:t>
      </w:r>
      <w:r w:rsidRPr="00CF4278">
        <w:rPr>
          <w:lang w:val="en-GB"/>
        </w:rPr>
        <w:fldChar w:fldCharType="end"/>
      </w:r>
      <w:r w:rsidRPr="00CF4278">
        <w:rPr>
          <w:lang w:val="en-GB"/>
        </w:rPr>
        <w:t>.</w:t>
      </w:r>
    </w:p>
    <w:p w14:paraId="01C32A75" w14:textId="1B1D40EF" w:rsidR="0030341E" w:rsidRPr="00CF4278" w:rsidRDefault="0030341E" w:rsidP="00C07106">
      <w:pPr>
        <w:rPr>
          <w:szCs w:val="22"/>
          <w:lang w:val="en-GB"/>
        </w:rPr>
      </w:pPr>
      <w:r w:rsidRPr="00CF4278">
        <w:rPr>
          <w:szCs w:val="22"/>
          <w:lang w:val="en-GB"/>
        </w:rPr>
        <w:t xml:space="preserve">Our research can be framed within what </w:t>
      </w:r>
      <w:r w:rsidRPr="00CF4278">
        <w:rPr>
          <w:szCs w:val="22"/>
          <w:lang w:val="en-GB"/>
        </w:rPr>
        <w:fldChar w:fldCharType="begin" w:fldLock="1"/>
      </w:r>
      <w:r w:rsidRPr="00CF4278">
        <w:rPr>
          <w:szCs w:val="22"/>
          <w:lang w:val="en-GB"/>
        </w:rPr>
        <w:instrText>ADDIN CSL_CITATION {"citationItems":[{"id":"ITEM-1","itemData":{"DOI":"https://doi.org/10.1016/j.socscimed.2018.12.015","ISSN":"0277-9536","abstract":"Rationale Intersectionality as a theoretical framework has gained prominence in qualitative research on social inequity. Intercategorical quantitative applications have focused primarily on describing health or social inequalities across intersectional groups, coded using cross-classified categories or interaction terms. This descriptive intersectionality omits consideration of the mediating processes (e.g., discrimination) through which intersectional positions impact outcome inequalities, which offer opportunities for intervention. Objective We argue for the importance of a quantitative analytic intersectionality. We identify methodological challenges and potential solutions in structuring studies to allow for both intersectional heterogeneity in outcomes and in the ways that processes such as discrimination may cause these outcomes for those at different intersections. Method To incorporate both mediation and exposure-mediator interaction, we use VanderWeele's three-way decomposition methodology, adapt the interpretation for application to analytic intersectionality studies, and present a step-by-step analytic approach. Using online panel data collected from Canada and the United States in 2016 (N = 2542), we illustrate this approach with a statistical analysis of whether and to what extent observed inequalities in psychological distress across intersections of ethnoracial group and sexual or gender minority (SGM) status may be explained by past-year experiences of day-to-day discrimination, assessed using the Intersectional Discrimination Index (InDI). Results and conclusions We describe actual and adjusted intersectional inequalities in psychological distress and decompose them to identify three component effects for each of 11 intersectional comparison groups (e.g., Indigenous SGM), versus the reference intersectional group that experienced the lowest levels of discrimination (white non-SGM). These reflect the expected inequality in outcome: 1) due to membership in the more discriminated-against group, if its members had experienced the same lower levels of discrimination as the reference intersection; 2) due to unequal levels of discrimination; and 3), due to unequal effects of discrimination. We present considerations for use and interpretation of these methods.","author":[{"dropping-particle":"","family":"Bauer","given":"Greta R","non-dropping-particle":"","parse-names":false,"suffix":""},{"dropping-particle":"","family":"Scheim","given":"Ayden I","non-dropping-particle":"","parse-names":false,"suffix":""}],"container-title":"Social Science &amp; Medicine","id":"ITEM-1","issued":{"date-parts":[["2019"]]},"page":"236-245","title":"Methods for analytic intercategorical intersectionality in quantitative research: Discrimination as a mediator of health inequalities","type":"article-journal","volume":"226"},"uris":["http://www.mendeley.com/documents/?uuid=bbdb1e6a-8997-48fc-8865-e546e055999d"]}],"mendeley":{"formattedCitation":"(Bauer and Scheim, 2019)","plainTextFormattedCitation":"(Bauer and Scheim, 2019)","previouslyFormattedCitation":"(Bauer and Scheim, 2019)"},"properties":{"noteIndex":0},"schema":"https://github.com/citation-style-language/schema/raw/master/csl-citation.json"}</w:instrText>
      </w:r>
      <w:r w:rsidRPr="00CF4278">
        <w:rPr>
          <w:szCs w:val="22"/>
          <w:lang w:val="en-GB"/>
        </w:rPr>
        <w:fldChar w:fldCharType="separate"/>
      </w:r>
      <w:r w:rsidRPr="00CF4278">
        <w:rPr>
          <w:noProof/>
          <w:szCs w:val="22"/>
          <w:lang w:val="en-GB"/>
        </w:rPr>
        <w:t>(Bauer and Scheim, 2019)</w:t>
      </w:r>
      <w:r w:rsidRPr="00CF4278">
        <w:rPr>
          <w:szCs w:val="22"/>
          <w:lang w:val="en-GB"/>
        </w:rPr>
        <w:fldChar w:fldCharType="end"/>
      </w:r>
      <w:r w:rsidRPr="00CF4278">
        <w:rPr>
          <w:szCs w:val="22"/>
          <w:lang w:val="en-GB"/>
        </w:rPr>
        <w:t xml:space="preserve"> have called “descriptive intersectionality”, which is the focus on outcome heterogeneity across social strata. </w:t>
      </w:r>
      <w:r w:rsidR="005828FC" w:rsidRPr="00CF4278">
        <w:rPr>
          <w:szCs w:val="22"/>
          <w:lang w:val="en-GB"/>
        </w:rPr>
        <w:t xml:space="preserve">In depth explanatory analysis of the described patterns </w:t>
      </w:r>
      <w:r w:rsidRPr="00CF4278">
        <w:rPr>
          <w:szCs w:val="22"/>
          <w:lang w:val="en-GB"/>
        </w:rPr>
        <w:t xml:space="preserve">was unfortunately beyond the scope of our study. Our approach was intended as a heuristic analysis, since it allows to test independently and stepwise different dimensions in the model </w:t>
      </w:r>
      <w:r w:rsidRPr="00CF4278">
        <w:rPr>
          <w:szCs w:val="22"/>
          <w:lang w:val="en-GB"/>
        </w:rPr>
        <w:fldChar w:fldCharType="begin" w:fldLock="1"/>
      </w:r>
      <w:r w:rsidRPr="00CF4278">
        <w:rPr>
          <w:szCs w:val="22"/>
          <w:lang w:val="en-GB"/>
        </w:rPr>
        <w:instrText>ADDIN CSL_CITATION {"citationItems":[{"id":"ITEM-1","itemData":{"DOI":"10.1080/13645579.2016.1201328","ISSN":"1364-5579","author":[{"dropping-particle":"","family":"Scott","given":"Nicholas A","non-dropping-particle":"","parse-names":false,"suffix":""},{"dropping-particle":"","family":"Siltanen","given":"Janet","non-dropping-particle":"","parse-names":false,"suffix":""}],"container-title":"International Journal of Social Research Methodology","id":"ITEM-1","issue":"4","issued":{"date-parts":[["2017","7","4"]]},"note":"doi: 10.1080/13645579.2016.1201328","page":"373-385","publisher":"Routledge","title":"Intersectionality and quantitative methods: assessing regression from a feminist perspective","type":"article-journal","volume":"20"},"uris":["http://www.mendeley.com/documents/?uuid=1629a916-5a6d-4838-9491-6e825a7e4bb9"]}],"mendeley":{"formattedCitation":"(Scott and Siltanen, 2017)","plainTextFormattedCitation":"(Scott and Siltanen, 2017)","previouslyFormattedCitation":"(Scott and Siltanen, 2017)"},"properties":{"noteIndex":0},"schema":"https://github.com/citation-style-language/schema/raw/master/csl-citation.json"}</w:instrText>
      </w:r>
      <w:r w:rsidRPr="00CF4278">
        <w:rPr>
          <w:szCs w:val="22"/>
          <w:lang w:val="en-GB"/>
        </w:rPr>
        <w:fldChar w:fldCharType="separate"/>
      </w:r>
      <w:r w:rsidRPr="00CF4278">
        <w:rPr>
          <w:noProof/>
          <w:szCs w:val="22"/>
          <w:lang w:val="en-GB"/>
        </w:rPr>
        <w:t>(Scott and Siltanen, 2017)</w:t>
      </w:r>
      <w:r w:rsidRPr="00CF4278">
        <w:rPr>
          <w:szCs w:val="22"/>
          <w:lang w:val="en-GB"/>
        </w:rPr>
        <w:fldChar w:fldCharType="end"/>
      </w:r>
      <w:r w:rsidRPr="00CF4278">
        <w:rPr>
          <w:szCs w:val="22"/>
          <w:lang w:val="en-GB"/>
        </w:rPr>
        <w:t xml:space="preserve">, and has furthermore been used in previous studies on intersectionality and health inequalities research </w:t>
      </w:r>
      <w:r w:rsidRPr="00CF4278">
        <w:rPr>
          <w:szCs w:val="22"/>
          <w:lang w:val="en-GB"/>
        </w:rPr>
        <w:fldChar w:fldCharType="begin" w:fldLock="1"/>
      </w:r>
      <w:r w:rsidRPr="00CF4278">
        <w:rPr>
          <w:szCs w:val="22"/>
          <w:lang w:val="en-GB"/>
        </w:rPr>
        <w:instrText>ADDIN CSL_CITATION {"citationItems":[{"id":"ITEM-1","itemData":{"DOI":"10.2105/AJPH.2012.300994","ISSN":"0090-0036","abstract":"Objectives. We examined the intersections of sexual minority, gender, and Hispanic ethnic identities and their interaction with experiences of bullying in predicting suicide attempt among New York City youths.Methods. We performed secondary data analysis of the 2009 New York City Youth Risk Behavior Survey, using logistic regression to examine the association of sexual identity, gender, ethnicity, and bullying with suicide attempt. We stratified results on these measures and reported adjusted odds ratios.Results. Compared with non?sexual minority youths, sexual minority youths had 4.39 and 1.96 times higher odds, respectively, of attempting suicide and reporting bullying. Identity variables did not interact with bullying in predicting suicide attempt individually; however, a four-way interaction term was significant. The effect of bullying on suicide attempt was strongest among non-Hispanic sexual minority male youths (odds ratio?=?21.39 vs 1.65?3.38 for other groups).Conclusions. Sexual minority, gender, and ethnic identities interact with bullying in predicting suicide attempt among New York City youths. Interventions to limit both the prevalence and the effect of bullying among minority youths should consider an intersectional approach that considers ethnic, gender, and sexual identities.","author":[{"dropping-particle":"","family":"LeVasseur","given":"Michael T","non-dropping-particle":"","parse-names":false,"suffix":""},{"dropping-particle":"","family":"Kelvin","given":"Elizabeth A","non-dropping-particle":"","parse-names":false,"suffix":""},{"dropping-particle":"","family":"Grosskopf","given":"Nicholas A","non-dropping-particle":"","parse-names":false,"suffix":""}],"container-title":"American Journal of Public Health","id":"ITEM-1","issue":"6","issued":{"date-parts":[["2013","4","18"]]},"note":"doi: 10.2105/AJPH.2012.300994","page":"1082-1089","publisher":"American Public Health Association","title":"Intersecting Identities and the Association Between Bullying and Suicide Attempt Among New York City Youths: Results From the 2009 New York City Youth Risk Behavior Survey","type":"article-journal","volume":"103"},"uris":["http://www.mendeley.com/documents/?uuid=1d3cc574-1e9a-4281-9ef1-3265e1b8dcd3"]}],"mendeley":{"formattedCitation":"(LeVasseur et al., 2013)","plainTextFormattedCitation":"(LeVasseur et al., 2013)","previouslyFormattedCitation":"(LeVasseur et al., 2013)"},"properties":{"noteIndex":0},"schema":"https://github.com/citation-style-language/schema/raw/master/csl-citation.json"}</w:instrText>
      </w:r>
      <w:r w:rsidRPr="00CF4278">
        <w:rPr>
          <w:szCs w:val="22"/>
          <w:lang w:val="en-GB"/>
        </w:rPr>
        <w:fldChar w:fldCharType="separate"/>
      </w:r>
      <w:r w:rsidRPr="00CF4278">
        <w:rPr>
          <w:noProof/>
          <w:szCs w:val="22"/>
          <w:lang w:val="en-GB"/>
        </w:rPr>
        <w:t>(LeVasseur et al., 2013)</w:t>
      </w:r>
      <w:r w:rsidRPr="00CF4278">
        <w:rPr>
          <w:szCs w:val="22"/>
          <w:lang w:val="en-GB"/>
        </w:rPr>
        <w:fldChar w:fldCharType="end"/>
      </w:r>
      <w:r w:rsidRPr="00CF4278">
        <w:rPr>
          <w:szCs w:val="22"/>
          <w:lang w:val="en-GB"/>
        </w:rPr>
        <w:t xml:space="preserve">. Descriptive intersectionality in quantitative research has so far aimed at evaluating the interactions between different social dimensions and/or to perform a between-group comparison of average risks through the clustering of individuals into combined social categories </w:t>
      </w:r>
      <w:r w:rsidRPr="00CF4278">
        <w:rPr>
          <w:szCs w:val="22"/>
          <w:lang w:val="en-GB"/>
        </w:rPr>
        <w:fldChar w:fldCharType="begin" w:fldLock="1"/>
      </w:r>
      <w:r w:rsidRPr="00CF4278">
        <w:rPr>
          <w:szCs w:val="22"/>
          <w:lang w:val="en-GB"/>
        </w:rPr>
        <w:instrText>ADDIN CSL_CITATION {"citationItems":[{"id":"ITEM-1","itemData":{"author":[{"dropping-particle":"","family":"McCall","given":"Leslie","non-dropping-particle":"","parse-names":false,"suffix":""}],"container-title":"Signs","id":"ITEM-1","issue":"3","issued":{"date-parts":[["2005"]]},"page":"1771-1800","title":"The complexity of intersectionality","type":"article-journal","volume":"30"},"uris":["http://www.mendeley.com/documents/?uuid=f12ca024-cef2-4776-88b2-fb4062262b7e"]},{"id":"ITEM-2","itemData":{"DOI":"https://doi.org/10.1016/j.socscimed.2017.01.050","ISSN":"0277-9536","abstract":"Intersectionality theory can contribute to epidemiology and public health by furthering understanding of power dynamics driving production of health disparities, and increasing knowledge about heterogeneities within, and overlap between, social categories. Drawing on McCall, we relate the first of these potential contributions to categorical intersectionality and the second to anti-categorical intersectionality. Both approaches are used in study of risk of ischemic heart disease (IHD), based on register data on 3.6 million adults residing in Sweden by 2010, followed for three years. Categorical intersectionality is here coupled with between-group differences in average risk calculation, as we use intersectional categorizations while estimating odds ratios through logistic regressions. The anti-categorical approach is operationalized through measurement of discriminatory accuracy (DA), i.e., capacity to accurately categorize individuals with or without a certain outcome, through computation of the area under the curve (AUC). Our results show substantial differences in average risk between intersectional groupings. The DA of social categorizations is found to be low, however, due to outcome variability within and overlap between categories. We argue that measures of DA should be used for proper interpretation of differences in average risk between social (or any other) categories. Tension between average between-group risk and the DA of categorizations, which can be related to categorical and anti-categorical intersectional analyses, should be made explicit and discussed to a larger degree in epidemiology and public health.","author":[{"dropping-particle":"","family":"Wemrell","given":"Maria","non-dropping-particle":"","parse-names":false,"suffix":""},{"dropping-particle":"","family":"Mulinari","given":"Shai","non-dropping-particle":"","parse-names":false,"suffix":""},{"dropping-particle":"","family":"Merlo","given":"Juan","non-dropping-particle":"","parse-names":false,"suffix":""}],"container-title":"Social Science &amp; Medicine","id":"ITEM-2","issued":{"date-parts":[["2017"]]},"page":"213-222","title":"Intersectionality and risk for ischemic heart disease in Sweden: Categorical and anti-categorical approaches","type":"article-journal","volume":"177"},"uris":["http://www.mendeley.com/documents/?uuid=f9c10b0f-a7d7-41e1-aeab-67d80beb5cfa"]}],"mendeley":{"formattedCitation":"(McCall, 2005; Wemrell et al., 2017)","plainTextFormattedCitation":"(McCall, 2005; Wemrell et al., 2017)","previouslyFormattedCitation":"(McCall, 2005; Wemrell et al., 2017)"},"properties":{"noteIndex":0},"schema":"https://github.com/citation-style-language/schema/raw/master/csl-citation.json"}</w:instrText>
      </w:r>
      <w:r w:rsidRPr="00CF4278">
        <w:rPr>
          <w:szCs w:val="22"/>
          <w:lang w:val="en-GB"/>
        </w:rPr>
        <w:fldChar w:fldCharType="separate"/>
      </w:r>
      <w:r w:rsidRPr="00CF4278">
        <w:rPr>
          <w:noProof/>
          <w:szCs w:val="22"/>
          <w:lang w:val="en-GB"/>
        </w:rPr>
        <w:t>(McCall, 2005; Wemrell et al., 2017)</w:t>
      </w:r>
      <w:r w:rsidRPr="00CF4278">
        <w:rPr>
          <w:szCs w:val="22"/>
          <w:lang w:val="en-GB"/>
        </w:rPr>
        <w:fldChar w:fldCharType="end"/>
      </w:r>
      <w:r w:rsidRPr="00CF4278">
        <w:rPr>
          <w:szCs w:val="22"/>
          <w:lang w:val="en-GB"/>
        </w:rPr>
        <w:t xml:space="preserve">. As previously mentioned, this method has been criticised for not </w:t>
      </w:r>
      <w:proofErr w:type="gramStart"/>
      <w:r w:rsidRPr="00CF4278">
        <w:rPr>
          <w:szCs w:val="22"/>
          <w:lang w:val="en-GB"/>
        </w:rPr>
        <w:t>taking into account</w:t>
      </w:r>
      <w:proofErr w:type="gramEnd"/>
      <w:r w:rsidRPr="00CF4278">
        <w:rPr>
          <w:szCs w:val="22"/>
          <w:lang w:val="en-GB"/>
        </w:rPr>
        <w:t xml:space="preserve"> the fluidity of different social identities, assuming immovable categories and therefore overlooking their potential heterogeneity. Additionally, the inter-categorical approach could entail the dangerous collateral effect of stigmatising and stereotyping the operationalised groups, contributing to perpetuate social </w:t>
      </w:r>
      <w:r w:rsidRPr="00CF4278">
        <w:rPr>
          <w:szCs w:val="22"/>
          <w:lang w:val="en-GB"/>
        </w:rPr>
        <w:lastRenderedPageBreak/>
        <w:t xml:space="preserve">inequalities </w:t>
      </w:r>
      <w:r w:rsidRPr="00CF4278">
        <w:rPr>
          <w:szCs w:val="22"/>
          <w:lang w:val="en-GB"/>
        </w:rPr>
        <w:fldChar w:fldCharType="begin" w:fldLock="1"/>
      </w:r>
      <w:r w:rsidRPr="00CF4278">
        <w:rPr>
          <w:szCs w:val="22"/>
          <w:lang w:val="en-GB"/>
        </w:rPr>
        <w:instrText>ADDIN CSL_CITATION {"citationItems":[{"id":"ITEM-1","itemData":{"DOI":"10.1016/j.socscimed.2014.03.022","ISSN":"0277-9536","author":[{"dropping-particle":"","family":"Bauer","given":"Greta R","non-dropping-particle":"","parse-names":false,"suffix":""}],"container-title":"Social Science &amp; Medicine","id":"ITEM-1","issued":{"date-parts":[["2014"]]},"page":"10-17","publisher":"Elsevier Ltd","title":"Incorporating intersectionality theory into population health research methodology: Challenges and the potential to advance health equity","type":"article-journal","volume":"110"},"uris":["http://www.mendeley.com/documents/?uuid=60400b6a-0b20-4506-8759-80e206bfe25c"]}],"mendeley":{"formattedCitation":"(Bauer, 2014)","plainTextFormattedCitation":"(Bauer, 2014)","previouslyFormattedCitation":"(Bauer, 2014)"},"properties":{"noteIndex":0},"schema":"https://github.com/citation-style-language/schema/raw/master/csl-citation.json"}</w:instrText>
      </w:r>
      <w:r w:rsidRPr="00CF4278">
        <w:rPr>
          <w:szCs w:val="22"/>
          <w:lang w:val="en-GB"/>
        </w:rPr>
        <w:fldChar w:fldCharType="separate"/>
      </w:r>
      <w:r w:rsidRPr="00CF4278">
        <w:rPr>
          <w:noProof/>
          <w:szCs w:val="22"/>
          <w:lang w:val="en-GB"/>
        </w:rPr>
        <w:t>(Bauer, 2014)</w:t>
      </w:r>
      <w:r w:rsidRPr="00CF4278">
        <w:rPr>
          <w:szCs w:val="22"/>
          <w:lang w:val="en-GB"/>
        </w:rPr>
        <w:fldChar w:fldCharType="end"/>
      </w:r>
      <w:r w:rsidRPr="00CF4278">
        <w:rPr>
          <w:szCs w:val="22"/>
          <w:lang w:val="en-GB"/>
        </w:rPr>
        <w:t xml:space="preserve">. In order to overcome these limitations and to study within-group heterogeneity and/or the overlapping between strata, different methods have been suggested, such as analysing the discriminatory accuracy of the operationalised categories </w:t>
      </w:r>
      <w:r w:rsidRPr="00CF4278">
        <w:rPr>
          <w:szCs w:val="22"/>
          <w:lang w:val="en-GB"/>
        </w:rPr>
        <w:fldChar w:fldCharType="begin" w:fldLock="1"/>
      </w:r>
      <w:r w:rsidRPr="00CF4278">
        <w:rPr>
          <w:szCs w:val="22"/>
          <w:lang w:val="en-GB"/>
        </w:rPr>
        <w:instrText>ADDIN CSL_CITATION {"citationItems":[{"id":"ITEM-1","itemData":{"DOI":"https://doi.org/10.1016/j.ssmph.2017.08.005","ISSN":"2352-8273","abstract":"Modern medicine is overwhelmed by a plethora of both established risk factors and novel biomarkers for diseases. The majority of this information is expressed by probabilistic measures of association such as the odds ratio (OR) obtained by calculating differences in average “risk” between exposed and unexposed groups. However, recent research demonstrates that even ORs of considerable magnitude are insufficient for assessing the ability of risk factors or biomarkers to distinguish the individuals who will develop the disease from those who will not. In regards to coronary heart disease (CHD), we already know that novel biomarkers add very little to the discriminatory accuracy (DA) of traditional risk factors. However, the value added by traditional risk factors alongside simple demographic variables such as age and sex has been the subject of less discussion. Moreover, in public health, we use the OR to calculate the population attributable fraction (PAF), although this measure fails to consider the DA of the risk factor it represents. Therefore, focusing on CHD and applying measures of DA, we re-examine the role of individual demographic characteristics, risk factors, novel biomarkers and PAFs in public health and epidemiology. In so doing, we also raise a more general criticism of the traditional risk factors’ epidemiology. We investigated a cohort of 6103 men and women who participated in the baseline (1991–1996) of the Malmö Diet and Cancer study and were followed for 18 years. We found that neither traditional risk factors nor biomarkers substantially improved the DA obtained by models considering only age and sex. We concluded that the PAF measure provided insufficient information for the planning of preventive strategies in the population. We need a better understanding of the individual heterogeneity around the averages and, thereby, a fundamental change in the way we interpret risk factors in public health and epidemiology.","author":[{"dropping-particle":"","family":"Merlo","given":"Juan","non-dropping-particle":"","parse-names":false,"suffix":""},{"dropping-particle":"","family":"Mulinari","given":"Shai","non-dropping-particle":"","parse-names":false,"suffix":""},{"dropping-particle":"","family":"Wemrell","given":"Maria","non-dropping-particle":"","parse-names":false,"suffix":""},{"dropping-particle":"V","family":"Subramanian","given":"S","non-dropping-particle":"","parse-names":false,"suffix":""},{"dropping-particle":"","family":"Hedblad","given":"Bo","non-dropping-particle":"","parse-names":false,"suffix":""}],"container-title":"SSM - Population Health","id":"ITEM-1","issued":{"date-parts":[["2017"]]},"page":"684-698","title":"The tyranny of the averages and the indiscriminate use of risk factors in public health: The case of coronary heart disease","type":"article-journal","volume":"3"},"uris":["http://www.mendeley.com/documents/?uuid=b733d79d-e730-4917-ab84-02ef8c625739"]}],"mendeley":{"formattedCitation":"(Merlo et al., 2017)","plainTextFormattedCitation":"(Merlo et al., 2017)","previouslyFormattedCitation":"(Merlo et al., 2017)"},"properties":{"noteIndex":0},"schema":"https://github.com/citation-style-language/schema/raw/master/csl-citation.json"}</w:instrText>
      </w:r>
      <w:r w:rsidRPr="00CF4278">
        <w:rPr>
          <w:szCs w:val="22"/>
          <w:lang w:val="en-GB"/>
        </w:rPr>
        <w:fldChar w:fldCharType="separate"/>
      </w:r>
      <w:r w:rsidRPr="00CF4278">
        <w:rPr>
          <w:noProof/>
          <w:szCs w:val="22"/>
          <w:lang w:val="en-GB"/>
        </w:rPr>
        <w:t>(Merlo et al., 2017)</w:t>
      </w:r>
      <w:r w:rsidRPr="00CF4278">
        <w:rPr>
          <w:szCs w:val="22"/>
          <w:lang w:val="en-GB"/>
        </w:rPr>
        <w:fldChar w:fldCharType="end"/>
      </w:r>
      <w:r w:rsidRPr="00CF4278">
        <w:rPr>
          <w:szCs w:val="22"/>
          <w:lang w:val="en-GB"/>
        </w:rPr>
        <w:t xml:space="preserve"> or using interacting social dimensions in multilevel analyses </w:t>
      </w:r>
      <w:r w:rsidRPr="00CF4278">
        <w:rPr>
          <w:szCs w:val="22"/>
          <w:lang w:val="en-GB"/>
        </w:rPr>
        <w:fldChar w:fldCharType="begin" w:fldLock="1"/>
      </w:r>
      <w:r w:rsidRPr="00CF4278">
        <w:rPr>
          <w:szCs w:val="22"/>
          <w:lang w:val="en-GB"/>
        </w:rPr>
        <w:instrText>ADDIN CSL_CITATION {"citationItems":[{"id":"ITEM-1","itemData":{"DOI":"https://doi.org/10.1016/j.socscimed.2017.11.011","ISSN":"0277-9536","abstract":"Rationale Examining interactions between numerous interlocking social identities and the systems of oppression and privilege that shape them is central to health inequalities research. Multilevel models are an alternative and novel approach to examining health inequalities at the intersection of multiple social identities. This approach draws attention to the heterogeneity within and between intersectional social strata by partitioning the total variance across two levels. Method Utilizing a familiar empirical example from social epidemiology—body mass index among U.S. adults (N = 32,788)—we compare the application of multilevel models to the conventional fixed effects approach to studying high-dimension interactions. Researchers are often confronted with the need to explore numerous interactions of identities and social processes. We explore the interactions of five dimensions of social identity and position—gender, race/ethnicity, income, education, and age—for a total of 384 unique intersectional social strata. Results We find that the multilevel approach provides advantages over conventional models, including scalability for higher dimensions, adjustment for sample size of social strata, model parsimony, and ease of interpretation. Conclusion Considerable variation is attributable to the within-strata level, indicating the low discriminatory accuracy of these intersectional identities and the high within-strata heterogeneity of risk that remains unexplained. Multilevel modeling is an innovative and valuable tool for evaluating the intersectionality of health inequalities.","author":[{"dropping-particle":"","family":"Evans","given":"Clare R","non-dropping-particle":"","parse-names":false,"suffix":""},{"dropping-particle":"","family":"Williams","given":"David R","non-dropping-particle":"","parse-names":false,"suffix":""},{"dropping-particle":"","family":"Onnela","given":"Jukka-Pekka","non-dropping-particle":"","parse-names":false,"suffix":""},{"dropping-particle":"V","family":"Subramanian","given":"S","non-dropping-particle":"","parse-names":false,"suffix":""}],"container-title":"Social Science &amp; Medicine","id":"ITEM-1","issued":{"date-parts":[["2018"]]},"page":"64-73","title":"A multilevel approach to modeling health inequalities at the intersection of multiple social identities","type":"article-journal","volume":"203"},"uris":["http://www.mendeley.com/documents/?uuid=6480c10b-124b-4dd6-a737-1cd43d0d8d83"]}],"mendeley":{"formattedCitation":"(Evans et al., 2018)","plainTextFormattedCitation":"(Evans et al., 2018)","previouslyFormattedCitation":"(Evans et al., 2018)"},"properties":{"noteIndex":0},"schema":"https://github.com/citation-style-language/schema/raw/master/csl-citation.json"}</w:instrText>
      </w:r>
      <w:r w:rsidRPr="00CF4278">
        <w:rPr>
          <w:szCs w:val="22"/>
          <w:lang w:val="en-GB"/>
        </w:rPr>
        <w:fldChar w:fldCharType="separate"/>
      </w:r>
      <w:r w:rsidRPr="00CF4278">
        <w:rPr>
          <w:noProof/>
          <w:szCs w:val="22"/>
          <w:lang w:val="en-GB"/>
        </w:rPr>
        <w:t>(Evans et al., 2018)</w:t>
      </w:r>
      <w:r w:rsidRPr="00CF4278">
        <w:rPr>
          <w:szCs w:val="22"/>
          <w:lang w:val="en-GB"/>
        </w:rPr>
        <w:fldChar w:fldCharType="end"/>
      </w:r>
      <w:r w:rsidRPr="00CF4278">
        <w:rPr>
          <w:szCs w:val="22"/>
          <w:lang w:val="en-GB"/>
        </w:rPr>
        <w:t>.</w:t>
      </w:r>
    </w:p>
    <w:p w14:paraId="02651006" w14:textId="67A3883C" w:rsidR="006D2152" w:rsidRPr="00A858D5" w:rsidRDefault="00D45A28" w:rsidP="00C07106">
      <w:pPr>
        <w:rPr>
          <w:lang w:val="en-GB"/>
        </w:rPr>
      </w:pPr>
      <w:r w:rsidRPr="00A858D5">
        <w:rPr>
          <w:lang w:val="en-GB"/>
        </w:rPr>
        <w:t>P</w:t>
      </w:r>
      <w:r w:rsidR="008D62C3" w:rsidRPr="00A858D5">
        <w:rPr>
          <w:lang w:val="en-GB"/>
        </w:rPr>
        <w:t>otential</w:t>
      </w:r>
      <w:r w:rsidR="004403B1" w:rsidRPr="00A858D5">
        <w:rPr>
          <w:lang w:val="en-GB"/>
        </w:rPr>
        <w:t xml:space="preserve"> </w:t>
      </w:r>
      <w:r w:rsidR="006D2152" w:rsidRPr="00A858D5">
        <w:rPr>
          <w:lang w:val="en-GB"/>
        </w:rPr>
        <w:t>limitations</w:t>
      </w:r>
      <w:r w:rsidR="008D62C3" w:rsidRPr="00A858D5">
        <w:rPr>
          <w:lang w:val="en-GB"/>
        </w:rPr>
        <w:t xml:space="preserve"> of our study are</w:t>
      </w:r>
      <w:r w:rsidR="00414583" w:rsidRPr="00A858D5">
        <w:rPr>
          <w:lang w:val="en-GB"/>
        </w:rPr>
        <w:t xml:space="preserve"> mainly</w:t>
      </w:r>
      <w:r w:rsidR="008B06EE" w:rsidRPr="00A858D5">
        <w:rPr>
          <w:lang w:val="en-GB"/>
        </w:rPr>
        <w:t xml:space="preserve"> related to the use of </w:t>
      </w:r>
      <w:r w:rsidR="00DE7581" w:rsidRPr="00A858D5">
        <w:rPr>
          <w:lang w:val="en-GB"/>
        </w:rPr>
        <w:t xml:space="preserve">administrative </w:t>
      </w:r>
      <w:r w:rsidR="008B06EE" w:rsidRPr="00A858D5">
        <w:rPr>
          <w:lang w:val="en-GB"/>
        </w:rPr>
        <w:t>data</w:t>
      </w:r>
      <w:r w:rsidR="006D2152" w:rsidRPr="00A858D5">
        <w:rPr>
          <w:lang w:val="en-GB"/>
        </w:rPr>
        <w:t>.</w:t>
      </w:r>
      <w:r w:rsidR="004D7FC2" w:rsidRPr="00A858D5">
        <w:rPr>
          <w:lang w:val="en-GB"/>
        </w:rPr>
        <w:t xml:space="preserve"> </w:t>
      </w:r>
      <w:r w:rsidR="00390017" w:rsidRPr="00A858D5">
        <w:rPr>
          <w:lang w:val="en-GB"/>
        </w:rPr>
        <w:t>First,</w:t>
      </w:r>
      <w:r w:rsidR="0075272A">
        <w:rPr>
          <w:lang w:val="en-GB"/>
        </w:rPr>
        <w:t xml:space="preserve"> as previously mentioned,</w:t>
      </w:r>
      <w:r w:rsidR="00390017" w:rsidRPr="00A858D5">
        <w:rPr>
          <w:lang w:val="en-GB"/>
        </w:rPr>
        <w:t xml:space="preserve"> we were unable to control for </w:t>
      </w:r>
      <w:r w:rsidR="00F25B47" w:rsidRPr="00A858D5">
        <w:rPr>
          <w:lang w:val="en-GB"/>
        </w:rPr>
        <w:t>lifestyle factors</w:t>
      </w:r>
      <w:r w:rsidR="00D16C87" w:rsidRPr="00A858D5">
        <w:rPr>
          <w:lang w:val="en-GB"/>
        </w:rPr>
        <w:t xml:space="preserve">, such as </w:t>
      </w:r>
      <w:r w:rsidR="00E64363" w:rsidRPr="00A858D5">
        <w:rPr>
          <w:lang w:val="en-GB"/>
        </w:rPr>
        <w:t xml:space="preserve">smoking status, </w:t>
      </w:r>
      <w:r w:rsidR="00C517B1" w:rsidRPr="00A858D5">
        <w:rPr>
          <w:lang w:val="en-GB"/>
        </w:rPr>
        <w:t>which might have</w:t>
      </w:r>
      <w:r w:rsidR="000F0664" w:rsidRPr="00A858D5">
        <w:rPr>
          <w:lang w:val="en-GB"/>
        </w:rPr>
        <w:t xml:space="preserve"> biased our results</w:t>
      </w:r>
      <w:r w:rsidR="00742151" w:rsidRPr="00A858D5">
        <w:rPr>
          <w:lang w:val="en-GB"/>
        </w:rPr>
        <w:t xml:space="preserve">. However, studies adjusting </w:t>
      </w:r>
      <w:r w:rsidR="00A60AAB" w:rsidRPr="00A858D5">
        <w:rPr>
          <w:lang w:val="en-GB"/>
        </w:rPr>
        <w:t xml:space="preserve">for </w:t>
      </w:r>
      <w:r w:rsidR="00742151" w:rsidRPr="00A858D5">
        <w:rPr>
          <w:lang w:val="en-GB"/>
        </w:rPr>
        <w:t xml:space="preserve">these variables have </w:t>
      </w:r>
      <w:r w:rsidR="002110D0" w:rsidRPr="00A858D5">
        <w:rPr>
          <w:lang w:val="en-GB"/>
        </w:rPr>
        <w:t>reported</w:t>
      </w:r>
      <w:r w:rsidR="0065705F" w:rsidRPr="00A858D5">
        <w:rPr>
          <w:lang w:val="en-GB"/>
        </w:rPr>
        <w:t xml:space="preserve"> </w:t>
      </w:r>
      <w:r w:rsidR="008006E9" w:rsidRPr="00A858D5">
        <w:rPr>
          <w:lang w:val="en-GB"/>
        </w:rPr>
        <w:t>similar findings</w:t>
      </w:r>
      <w:r w:rsidR="00B61D50" w:rsidRPr="00A858D5">
        <w:rPr>
          <w:lang w:val="en-GB"/>
        </w:rPr>
        <w:t xml:space="preserve"> </w:t>
      </w:r>
      <w:r w:rsidR="002110D0" w:rsidRPr="00A858D5">
        <w:rPr>
          <w:lang w:val="en-GB"/>
        </w:rPr>
        <w:fldChar w:fldCharType="begin" w:fldLock="1"/>
      </w:r>
      <w:r w:rsidR="00452D47">
        <w:rPr>
          <w:lang w:val="en-GB"/>
        </w:rPr>
        <w:instrText>ADDIN CSL_CITATION {"citationItems":[{"id":"ITEM-1","itemData":{"DOI":"10.1016/S2542-5196(17)30118-3","author":[{"dropping-particle":"","family":"Crouse","given":"Dan L","non-dropping-particle":"","parse-names":false,"suffix":""},{"dropping-particle":"","family":"Pinault","given":"Lauren","non-dropping-particle":"","parse-names":false,"suffix":""},{"dropping-particle":"","family":"Balram","given":"Adele","non-dropping-particle":"","parse-names":false,"suffix":""},{"dropping-particle":"","family":"Hystad","given":"Perry","non-dropping-particle":"","parse-names":false,"suffix":""},{"dropping-particle":"","family":"Peters","given":"Paul A","non-dropping-particle":"","parse-names":false,"suffix":""},{"dropping-particle":"","family":"Chen","given":"Hong","non-dropping-particle":"","parse-names":false,"suffix":""},{"dropping-particle":"Van","family":"Donkelaar","given":"Aaron","non-dropping-particle":"","parse-names":false,"suffix":""},{"dropping-particle":"V","family":"Martin","given":"Randall","non-dropping-particle":"","parse-names":false,"suffix":""},{"dropping-particle":"","family":"Ménard","given":"Richard","non-dropping-particle":"","parse-names":false,"suffix":""},{"dropping-particle":"","family":"Robichaud","given":"Alain","non-dropping-particle":"","parse-names":false,"suffix":""},{"dropping-particle":"","family":"Villeneuve","given":"Paul J","non-dropping-particle":"","parse-names":false,"suffix":""}],"container-title":"The Lancet Planetary Health","id":"ITEM-1","issued":{"date-parts":[["2017"]]},"page":"e289-97","title":"Urban greenness and mortality in Canada ’ s largest cities : a national cohort study","type":"article-journal","volume":"1"},"uris":["http://www.mendeley.com/documents/?uuid=e5e08b31-aed3-4093-8aad-a622187a866b"]},{"id":"ITEM-2","itemData":{"DOI":"https://doi.org/10.1016/j.envres.2019.108751","ISSN":"0013-9351","abstract":"Self-perceived general health (SGH) is one of the most inclusive and widely used measures of health status and a powerful predictor of mortality. However, only a limited number of studies evaluated associations of combined environmental exposures on SGH. Our aim was to evaluate associations of combined residential exposure to surrounding green, air pollution and traffic noise with poor SGH in the Netherlands. We linked data on long-term residential exposure to surrounding green based on the Normalized Difference Vegetation Index (NDVI) and a land-use database (TOP10NL), air pollutant concentrations (including particulate matter (PM10, PM2.5), and nitrogen dioxide (NO2)) and road- and rail-traffic noise with a Dutch national health survey, resulting in a study population of 354,827 adults. We analyzed associations of single and combined exposures with poor SGH. In single-exposure models, NDVI within 300 m was inversely associated with poor SGH [odds ratio (OR) = 0.91, 95% CI: 0.89, 0.94 per IQR increase], while NO2 was positively associated with poor SGH (OR = 1.07, 95% CI: 1.04, 1.11 per IQR increase). In multi-exposure models, associations with surrounding green and air pollution generally remained, but attenuated. Joint odds ratios (JOR) of combined exposure to air pollution, rail-traffic noise and decreased surrounding green were higher than the odds ratios of single-exposure models. Studies including only one of these correlated exposures may overestimate the risk of poor SGH attributed to the studied exposure, while underestimating the risk of combined exposures.","author":[{"dropping-particle":"","family":"Klompmaker","given":"Jochem O","non-dropping-particle":"","parse-names":false,"suffix":""},{"dropping-particle":"","family":"Janssen","given":"Nicole A H","non-dropping-particle":"","parse-names":false,"suffix":""},{"dropping-particle":"","family":"Bloemsma","given":"Lizan D","non-dropping-particle":"","parse-names":false,"suffix":""},{"dropping-particle":"","family":"Gehring","given":"Ulrike","non-dropping-particle":"","parse-names":false,"suffix":""},{"dropping-particle":"","family":"Wijga","given":"Alet H","non-dropping-particle":"","parse-names":false,"suffix":""},{"dropping-particle":"","family":"Brink","given":"Carolien","non-dropping-particle":"van den","parse-names":false,"suffix":""},{"dropping-particle":"","family":"Lebret","given":"Erik","non-dropping-particle":"","parse-names":false,"suffix":""},{"dropping-particle":"","family":"Brunekreef","given":"Bert","non-dropping-particle":"","parse-names":false,"suffix":""},{"dropping-particle":"","family":"Hoek","given":"Gerard","non-dropping-particle":"","parse-names":false,"suffix":""}],"container-title":"Environmental Research","id":"ITEM-2","issued":{"date-parts":[["2019"]]},"page":"108751","title":"Residential surrounding green, air pollution, traffic noise and self-perceived general health","type":"article-journal","volume":"179"},"uris":["http://www.mendeley.com/documents/?uuid=9d007e22-e914-48d2-a036-ecfc44a79d57"]}],"mendeley":{"formattedCitation":"(Crouse et al., 2017; Klompmaker et al., 2019)","plainTextFormattedCitation":"(Crouse et al., 2017; Klompmaker et al., 2019)","previouslyFormattedCitation":"(Crouse et al., 2017; Klompmaker et al., 2019)"},"properties":{"noteIndex":0},"schema":"https://github.com/citation-style-language/schema/raw/master/csl-citation.json"}</w:instrText>
      </w:r>
      <w:r w:rsidR="002110D0" w:rsidRPr="00A858D5">
        <w:rPr>
          <w:lang w:val="en-GB"/>
        </w:rPr>
        <w:fldChar w:fldCharType="separate"/>
      </w:r>
      <w:r w:rsidR="009F0D48" w:rsidRPr="00113E16">
        <w:rPr>
          <w:noProof/>
          <w:lang w:val="en-GB"/>
        </w:rPr>
        <w:t>(Crouse et al., 2017; Klompmaker et al., 2019)</w:t>
      </w:r>
      <w:r w:rsidR="002110D0" w:rsidRPr="00A858D5">
        <w:rPr>
          <w:lang w:val="en-GB"/>
        </w:rPr>
        <w:fldChar w:fldCharType="end"/>
      </w:r>
      <w:r w:rsidR="000F0664" w:rsidRPr="00A858D5">
        <w:rPr>
          <w:lang w:val="en-GB"/>
        </w:rPr>
        <w:t>.</w:t>
      </w:r>
      <w:r w:rsidR="00561204" w:rsidRPr="00A858D5">
        <w:rPr>
          <w:lang w:val="en-GB"/>
        </w:rPr>
        <w:t xml:space="preserve"> </w:t>
      </w:r>
      <w:r w:rsidR="006E4195" w:rsidRPr="00A858D5">
        <w:rPr>
          <w:lang w:val="en-GB"/>
        </w:rPr>
        <w:t>Second</w:t>
      </w:r>
      <w:r w:rsidR="00561204" w:rsidRPr="00A858D5">
        <w:rPr>
          <w:lang w:val="en-GB"/>
        </w:rPr>
        <w:t xml:space="preserve">, we did not have </w:t>
      </w:r>
      <w:r w:rsidR="007337E3" w:rsidRPr="00A858D5">
        <w:rPr>
          <w:lang w:val="en-GB"/>
        </w:rPr>
        <w:t xml:space="preserve">time-varying </w:t>
      </w:r>
      <w:r w:rsidR="00BA3071" w:rsidRPr="00A858D5">
        <w:rPr>
          <w:lang w:val="en-GB"/>
        </w:rPr>
        <w:t>variables at our disposal</w:t>
      </w:r>
      <w:r w:rsidR="006A5850" w:rsidRPr="00A858D5">
        <w:rPr>
          <w:lang w:val="en-GB"/>
        </w:rPr>
        <w:t xml:space="preserve">; </w:t>
      </w:r>
      <w:r w:rsidR="00A135E6" w:rsidRPr="00A858D5">
        <w:rPr>
          <w:lang w:val="en-GB"/>
        </w:rPr>
        <w:t xml:space="preserve">factors such as </w:t>
      </w:r>
      <w:r w:rsidR="006F3DD2" w:rsidRPr="00A858D5">
        <w:rPr>
          <w:lang w:val="en-GB"/>
        </w:rPr>
        <w:t>housing</w:t>
      </w:r>
      <w:r w:rsidR="00A135E6" w:rsidRPr="00A858D5">
        <w:rPr>
          <w:lang w:val="en-GB"/>
        </w:rPr>
        <w:t xml:space="preserve"> </w:t>
      </w:r>
      <w:r w:rsidR="006F3DD2" w:rsidRPr="00A858D5">
        <w:rPr>
          <w:lang w:val="en-GB"/>
        </w:rPr>
        <w:t>tenure</w:t>
      </w:r>
      <w:r w:rsidR="00A135E6" w:rsidRPr="00A858D5">
        <w:rPr>
          <w:lang w:val="en-GB"/>
        </w:rPr>
        <w:t xml:space="preserve"> or </w:t>
      </w:r>
      <w:r w:rsidR="00276F9C" w:rsidRPr="00A858D5">
        <w:rPr>
          <w:lang w:val="en-GB"/>
        </w:rPr>
        <w:t>household living arrangement</w:t>
      </w:r>
      <w:r w:rsidR="006F3DD2" w:rsidRPr="00A858D5">
        <w:rPr>
          <w:lang w:val="en-GB"/>
        </w:rPr>
        <w:t xml:space="preserve"> might have changed </w:t>
      </w:r>
      <w:r w:rsidR="00432F0C" w:rsidRPr="00A858D5">
        <w:rPr>
          <w:lang w:val="en-GB"/>
        </w:rPr>
        <w:t xml:space="preserve">with respect to the baseline </w:t>
      </w:r>
      <w:r w:rsidR="006F3DD2" w:rsidRPr="00A858D5">
        <w:rPr>
          <w:lang w:val="en-GB"/>
        </w:rPr>
        <w:t>during the follow-up.</w:t>
      </w:r>
      <w:r w:rsidR="007F4FC8" w:rsidRPr="00A858D5">
        <w:rPr>
          <w:lang w:val="en-GB"/>
        </w:rPr>
        <w:t xml:space="preserve"> </w:t>
      </w:r>
      <w:r w:rsidR="00CD1614" w:rsidRPr="00A858D5">
        <w:rPr>
          <w:lang w:val="en-GB"/>
        </w:rPr>
        <w:t>Third, e</w:t>
      </w:r>
      <w:r w:rsidR="007F4FC8" w:rsidRPr="00A858D5">
        <w:rPr>
          <w:lang w:val="en-GB"/>
        </w:rPr>
        <w:t xml:space="preserve">xposure to green spaces was </w:t>
      </w:r>
      <w:r w:rsidR="00C77911" w:rsidRPr="00A858D5">
        <w:rPr>
          <w:lang w:val="en-GB"/>
        </w:rPr>
        <w:t>only</w:t>
      </w:r>
      <w:r w:rsidR="007F4FC8" w:rsidRPr="00A858D5">
        <w:rPr>
          <w:lang w:val="en-GB"/>
        </w:rPr>
        <w:t xml:space="preserve"> assessed based on</w:t>
      </w:r>
      <w:r w:rsidR="00C77911" w:rsidRPr="00A858D5">
        <w:rPr>
          <w:lang w:val="en-GB"/>
        </w:rPr>
        <w:t xml:space="preserve"> </w:t>
      </w:r>
      <w:r w:rsidR="00DB6FBD" w:rsidRPr="00A858D5">
        <w:rPr>
          <w:lang w:val="en-GB"/>
        </w:rPr>
        <w:t>the residential address</w:t>
      </w:r>
      <w:r w:rsidR="00CD1614" w:rsidRPr="00A858D5">
        <w:rPr>
          <w:lang w:val="en-GB"/>
        </w:rPr>
        <w:t xml:space="preserve"> </w:t>
      </w:r>
      <w:r w:rsidR="008D3389" w:rsidRPr="00A858D5">
        <w:rPr>
          <w:lang w:val="en-GB"/>
        </w:rPr>
        <w:t>at baseline</w:t>
      </w:r>
      <w:r w:rsidR="005741C9" w:rsidRPr="00A858D5">
        <w:rPr>
          <w:lang w:val="en-GB"/>
        </w:rPr>
        <w:t xml:space="preserve">. </w:t>
      </w:r>
      <w:r w:rsidR="00CD1614" w:rsidRPr="00A858D5">
        <w:rPr>
          <w:lang w:val="en-GB"/>
        </w:rPr>
        <w:t xml:space="preserve">However, we were able to select a subsample </w:t>
      </w:r>
      <w:r w:rsidR="005D72E9" w:rsidRPr="00A858D5">
        <w:rPr>
          <w:lang w:val="en-GB"/>
        </w:rPr>
        <w:t>of</w:t>
      </w:r>
      <w:r w:rsidR="00CD1614" w:rsidRPr="00A858D5">
        <w:rPr>
          <w:lang w:val="en-GB"/>
        </w:rPr>
        <w:t xml:space="preserve"> people living in the same statistical ward 10 years</w:t>
      </w:r>
      <w:r w:rsidR="00930C49" w:rsidRPr="00A858D5">
        <w:rPr>
          <w:lang w:val="en-GB"/>
        </w:rPr>
        <w:t xml:space="preserve"> prior to the baseline</w:t>
      </w:r>
      <w:r w:rsidR="00EE642F" w:rsidRPr="00A858D5">
        <w:rPr>
          <w:lang w:val="en-GB"/>
        </w:rPr>
        <w:t>, for which</w:t>
      </w:r>
      <w:r w:rsidR="008D6ED5" w:rsidRPr="00A858D5">
        <w:rPr>
          <w:lang w:val="en-GB"/>
        </w:rPr>
        <w:t xml:space="preserve"> </w:t>
      </w:r>
      <w:r w:rsidR="00EE642F" w:rsidRPr="00A858D5">
        <w:rPr>
          <w:lang w:val="en-GB"/>
        </w:rPr>
        <w:t xml:space="preserve">we found </w:t>
      </w:r>
      <w:r w:rsidR="00F85B88" w:rsidRPr="00A858D5">
        <w:rPr>
          <w:lang w:val="en-GB"/>
        </w:rPr>
        <w:t>robust results</w:t>
      </w:r>
      <w:r w:rsidR="00CD1614" w:rsidRPr="00A858D5">
        <w:rPr>
          <w:lang w:val="en-GB"/>
        </w:rPr>
        <w:t xml:space="preserve">, therefore proving evidence of beneficial effects of long-term exposure to urban green spaces. </w:t>
      </w:r>
      <w:r w:rsidR="00882F2D" w:rsidRPr="00A858D5">
        <w:rPr>
          <w:lang w:val="en-GB"/>
        </w:rPr>
        <w:t xml:space="preserve">Fourth, </w:t>
      </w:r>
      <w:r w:rsidR="00882F2D" w:rsidRPr="00A858D5">
        <w:rPr>
          <w:color w:val="000000" w:themeColor="text1"/>
          <w:lang w:val="en-GB"/>
        </w:rPr>
        <w:t xml:space="preserve">we </w:t>
      </w:r>
      <w:r w:rsidR="005F5CD5" w:rsidRPr="00A858D5">
        <w:rPr>
          <w:color w:val="000000" w:themeColor="text1"/>
          <w:lang w:val="en-GB"/>
        </w:rPr>
        <w:t>selected e</w:t>
      </w:r>
      <w:r w:rsidR="005F5CD5" w:rsidRPr="00A858D5">
        <w:rPr>
          <w:bCs/>
          <w:color w:val="000000" w:themeColor="text1"/>
          <w:lang w:val="en-GB"/>
        </w:rPr>
        <w:t xml:space="preserve">nvironmental </w:t>
      </w:r>
      <w:r w:rsidR="005F5CD5" w:rsidRPr="00A858D5">
        <w:rPr>
          <w:color w:val="000000" w:themeColor="text1"/>
          <w:lang w:val="en-GB"/>
        </w:rPr>
        <w:t>indicators for which the year of measurement was as close as possible to the middle of the follow-up period. However, the year of measurement might not be a</w:t>
      </w:r>
      <w:r w:rsidR="00501F5D" w:rsidRPr="00A858D5">
        <w:rPr>
          <w:color w:val="000000" w:themeColor="text1"/>
          <w:lang w:val="en-GB"/>
        </w:rPr>
        <w:t xml:space="preserve"> considerable</w:t>
      </w:r>
      <w:r w:rsidR="005F5CD5" w:rsidRPr="00A858D5">
        <w:rPr>
          <w:color w:val="000000" w:themeColor="text1"/>
          <w:lang w:val="en-GB"/>
        </w:rPr>
        <w:t xml:space="preserve"> issue as it is unlikely that the spatial distribution of environmental characteristics has notably changed during follow-up </w:t>
      </w:r>
      <w:r w:rsidR="005F5CD5" w:rsidRPr="00A858D5">
        <w:rPr>
          <w:color w:val="000000" w:themeColor="text1"/>
          <w:lang w:val="en-GB"/>
        </w:rPr>
        <w:fldChar w:fldCharType="begin" w:fldLock="1"/>
      </w:r>
      <w:r w:rsidR="00452D47">
        <w:rPr>
          <w:color w:val="000000" w:themeColor="text1"/>
          <w:lang w:val="en-GB"/>
        </w:rPr>
        <w:instrText>ADDIN CSL_CITATION {"citationItems":[{"id":"ITEM-1","itemData":{"author":[{"dropping-particle":"","family":"Voorde","given":"Tim","non-dropping-particle":"Van de","parse-names":false,"suffix":""},{"dropping-particle":"","family":"Canters","given":"Frank","non-dropping-particle":"","parse-names":false,"suffix":""},{"dropping-particle":"","family":"Chan","given":"Jonathan Cheung-wai","non-dropping-particle":"","parse-names":false,"suffix":""}],"id":"ITEM-1","issue":"ActuaEvol/09","issued":{"date-parts":[["2010"]]},"publisher-place":"Brussels","title":"Mapping update and analysis of the evolution of non- built (green) spaces in the Brussels Capital Region","type":"report"},"uris":["http://www.mendeley.com/documents/?uuid=39a8ce45-e83b-4ed2-985a-d01666899fd5"]}],"mendeley":{"formattedCitation":"(Van de Voorde et al., 2010)","plainTextFormattedCitation":"(Van de Voorde et al., 2010)","previouslyFormattedCitation":"(Van de Voorde et al., 2010)"},"properties":{"noteIndex":0},"schema":"https://github.com/citation-style-language/schema/raw/master/csl-citation.json"}</w:instrText>
      </w:r>
      <w:r w:rsidR="005F5CD5" w:rsidRPr="00A858D5">
        <w:rPr>
          <w:color w:val="000000" w:themeColor="text1"/>
          <w:lang w:val="en-GB"/>
        </w:rPr>
        <w:fldChar w:fldCharType="separate"/>
      </w:r>
      <w:r w:rsidR="00113E16" w:rsidRPr="00113E16">
        <w:rPr>
          <w:noProof/>
          <w:color w:val="000000" w:themeColor="text1"/>
          <w:lang w:val="en-GB"/>
        </w:rPr>
        <w:t>(Van de Voorde et al., 2010)</w:t>
      </w:r>
      <w:r w:rsidR="005F5CD5" w:rsidRPr="00A858D5">
        <w:rPr>
          <w:color w:val="000000" w:themeColor="text1"/>
          <w:lang w:val="en-GB"/>
        </w:rPr>
        <w:fldChar w:fldCharType="end"/>
      </w:r>
      <w:r w:rsidR="005F5CD5" w:rsidRPr="00A858D5">
        <w:rPr>
          <w:color w:val="000000" w:themeColor="text1"/>
          <w:lang w:val="en-GB"/>
        </w:rPr>
        <w:t xml:space="preserve">. </w:t>
      </w:r>
      <w:r w:rsidR="00882F2D" w:rsidRPr="00A858D5">
        <w:rPr>
          <w:lang w:val="en-GB"/>
        </w:rPr>
        <w:t>Fifth</w:t>
      </w:r>
      <w:r w:rsidR="006C50A5" w:rsidRPr="00A858D5">
        <w:rPr>
          <w:lang w:val="en-GB"/>
        </w:rPr>
        <w:t xml:space="preserve">, although we could assess perceived </w:t>
      </w:r>
      <w:r w:rsidR="00062D55" w:rsidRPr="00A858D5">
        <w:rPr>
          <w:lang w:val="en-GB"/>
        </w:rPr>
        <w:t>neighbo</w:t>
      </w:r>
      <w:r w:rsidR="00DC530B" w:rsidRPr="00A858D5">
        <w:rPr>
          <w:lang w:val="en-GB"/>
        </w:rPr>
        <w:t>u</w:t>
      </w:r>
      <w:r w:rsidR="00062D55" w:rsidRPr="00A858D5">
        <w:rPr>
          <w:lang w:val="en-GB"/>
        </w:rPr>
        <w:t>rhood</w:t>
      </w:r>
      <w:r w:rsidR="006C50A5" w:rsidRPr="00A858D5">
        <w:rPr>
          <w:lang w:val="en-GB"/>
        </w:rPr>
        <w:t xml:space="preserve"> greenness,</w:t>
      </w:r>
      <w:r w:rsidR="0072499E" w:rsidRPr="00A858D5">
        <w:rPr>
          <w:lang w:val="en-GB"/>
        </w:rPr>
        <w:t xml:space="preserve"> objective</w:t>
      </w:r>
      <w:r w:rsidR="006C50A5" w:rsidRPr="00A858D5">
        <w:rPr>
          <w:lang w:val="en-GB"/>
        </w:rPr>
        <w:t xml:space="preserve"> </w:t>
      </w:r>
      <w:r w:rsidR="002F6E9F" w:rsidRPr="00A858D5">
        <w:rPr>
          <w:lang w:val="en-GB"/>
        </w:rPr>
        <w:t xml:space="preserve">indicators </w:t>
      </w:r>
      <w:r w:rsidR="006C50A5" w:rsidRPr="00A858D5">
        <w:rPr>
          <w:lang w:val="en-GB"/>
        </w:rPr>
        <w:t xml:space="preserve">regarding quality </w:t>
      </w:r>
      <w:r w:rsidR="002F6E9F" w:rsidRPr="00A858D5">
        <w:rPr>
          <w:lang w:val="en-GB"/>
        </w:rPr>
        <w:t>were unavailable</w:t>
      </w:r>
      <w:r w:rsidR="0072499E" w:rsidRPr="00A858D5">
        <w:rPr>
          <w:lang w:val="en-GB"/>
        </w:rPr>
        <w:t xml:space="preserve">; neither </w:t>
      </w:r>
      <w:r w:rsidR="00773BC9" w:rsidRPr="00A858D5">
        <w:rPr>
          <w:lang w:val="en-GB"/>
        </w:rPr>
        <w:t>information on</w:t>
      </w:r>
      <w:r w:rsidR="006A2568" w:rsidRPr="00A858D5">
        <w:rPr>
          <w:lang w:val="en-GB"/>
        </w:rPr>
        <w:t xml:space="preserve"> </w:t>
      </w:r>
      <w:r w:rsidR="002F6E9F" w:rsidRPr="00A858D5">
        <w:rPr>
          <w:lang w:val="en-GB"/>
        </w:rPr>
        <w:t xml:space="preserve">contact </w:t>
      </w:r>
      <w:r w:rsidR="006A2568" w:rsidRPr="00A858D5">
        <w:rPr>
          <w:lang w:val="en-GB"/>
        </w:rPr>
        <w:t>with green spaces</w:t>
      </w:r>
      <w:r w:rsidR="00773BC9" w:rsidRPr="00A858D5">
        <w:rPr>
          <w:lang w:val="en-GB"/>
        </w:rPr>
        <w:t xml:space="preserve"> </w:t>
      </w:r>
      <w:r w:rsidR="006A2568" w:rsidRPr="00A858D5">
        <w:rPr>
          <w:lang w:val="en-GB"/>
        </w:rPr>
        <w:t>(</w:t>
      </w:r>
      <w:r w:rsidR="00557868" w:rsidRPr="00A858D5">
        <w:rPr>
          <w:lang w:val="en-GB"/>
        </w:rPr>
        <w:t>e.g.</w:t>
      </w:r>
      <w:r w:rsidR="001E41DE">
        <w:rPr>
          <w:lang w:val="en-GB"/>
        </w:rPr>
        <w:t>,</w:t>
      </w:r>
      <w:r w:rsidR="00557868" w:rsidRPr="00A858D5">
        <w:rPr>
          <w:lang w:val="en-GB"/>
        </w:rPr>
        <w:t xml:space="preserve"> </w:t>
      </w:r>
      <w:r w:rsidR="009F2826" w:rsidRPr="00A858D5">
        <w:rPr>
          <w:lang w:val="en-GB"/>
        </w:rPr>
        <w:t>frequen</w:t>
      </w:r>
      <w:r w:rsidR="00ED5289" w:rsidRPr="00A858D5">
        <w:rPr>
          <w:lang w:val="en-GB"/>
        </w:rPr>
        <w:t>cy</w:t>
      </w:r>
      <w:r w:rsidR="00557868" w:rsidRPr="00A858D5">
        <w:rPr>
          <w:lang w:val="en-GB"/>
        </w:rPr>
        <w:t xml:space="preserve"> or duration</w:t>
      </w:r>
      <w:r w:rsidR="007F77C3" w:rsidRPr="00A858D5">
        <w:rPr>
          <w:lang w:val="en-GB"/>
        </w:rPr>
        <w:t>)</w:t>
      </w:r>
      <w:r w:rsidR="00430EDD" w:rsidRPr="00A858D5">
        <w:rPr>
          <w:lang w:val="en-GB"/>
        </w:rPr>
        <w:t xml:space="preserve"> was available.</w:t>
      </w:r>
      <w:r w:rsidR="00284959" w:rsidRPr="00A858D5">
        <w:rPr>
          <w:lang w:val="en-GB"/>
        </w:rPr>
        <w:t xml:space="preserve"> </w:t>
      </w:r>
      <w:r w:rsidR="00AA41DF" w:rsidRPr="00CF4278">
        <w:rPr>
          <w:lang w:val="en-GB"/>
        </w:rPr>
        <w:t xml:space="preserve">Sixth, </w:t>
      </w:r>
      <w:r w:rsidR="0030341E" w:rsidRPr="00CF4278">
        <w:rPr>
          <w:lang w:val="en-GB"/>
        </w:rPr>
        <w:t xml:space="preserve">we adjusted our analyses for </w:t>
      </w:r>
      <w:r w:rsidR="005828FC" w:rsidRPr="00CF4278">
        <w:rPr>
          <w:lang w:val="en-GB"/>
        </w:rPr>
        <w:t xml:space="preserve">the </w:t>
      </w:r>
      <w:r w:rsidR="0030341E" w:rsidRPr="00CF4278">
        <w:rPr>
          <w:lang w:val="en-GB"/>
        </w:rPr>
        <w:t xml:space="preserve">percentage of unemployment in the statistical ward as a surrogate for area-level socioeconomic position. Unfortunately, other contextual indicators such as social cohesion, which may potentially mediate associations between UGS and health, were not available </w:t>
      </w:r>
      <w:r w:rsidR="0030341E" w:rsidRPr="00CF4278">
        <w:rPr>
          <w:lang w:val="en-GB"/>
        </w:rPr>
        <w:fldChar w:fldCharType="begin" w:fldLock="1"/>
      </w:r>
      <w:r w:rsidR="00EB5AA3" w:rsidRPr="00CF4278">
        <w:rPr>
          <w:lang w:val="en-GB"/>
        </w:rPr>
        <w:instrText>ADDIN CSL_CITATION {"citationItems":[{"id":"ITEM-1","itemData":{"DOI":"10.1097/EDE.0000000000000549","ISBN":"0000000000000","author":[{"dropping-particle":"","family":"Nieuwenhuijsen","given":"Mark J","non-dropping-particle":"","parse-names":false,"suffix":""},{"dropping-particle":"","family":"Khreis","given":"Haneen","non-dropping-particle":"","parse-names":false,"suffix":""},{"dropping-particle":"","family":"Triguero-Mas","given":"Margarita","non-dropping-particle":"","parse-names":false,"suffix":""},{"dropping-particle":"","family":"Gascon","given":"Mireia","non-dropping-particle":"","parse-names":false,"suffix":""},{"dropping-particle":"","family":"Dadvand","given":"Payam","non-dropping-particle":"","parse-names":false,"suffix":""}],"container-title":"Epidemiology","id":"ITEM-1","issue":"1","issued":{"date-parts":[["2017"]]},"page":"63-71","title":"Fifty Shades of Green. Pathway to Healthy Urban Living.","type":"article-journal","volume":"28"},"uris":["http://www.mendeley.com/documents/?uuid=50dae047-4b41-4632-909a-c168c7b0aefa"]},{"id":"ITEM-2","itemData":{"DOI":"https://doi.org/10.1016/j.socscimed.2013.06.030","ISSN":"0277-9536","abstract":"Several studies have shown a positive relationship between local greenspace availability and residents' health, which may offer opportunities for health improvement. This study focuses on three mechanisms through which greenery might exert its positive effect on health: stress reduction, stimulating physical activity and facilitating social cohesion. Knowledge on mechanisms helps to identify which type of greenspace is most effective in generating health benefits. In eighty neighbourhoods in four Dutch cities data on quantity and quality of streetscape greenery were collected by observations. Data on self-reported health and proposed mediators were obtained for adults by mail questionnaires (N = 1641). Multilevel regression analyses, controlling for socio-demographic characteristics, revealed that both quantity and quality of streetscape greenery were related to perceived general health, acute health-related complaints, and mental health. Relationships were generally stronger for quality than for quantity. Stress and social cohesion were the strongest mediators. Total physical activity was not a mediator. Physical activity that could be undertaken in the public space (green activity) was, but less so than stress and social cohesion. With all three mediators included in the analysis, complete mediation could statistically be proven in five out of six cases. In these analyses the contribution of green activity was often not significant. The possibility that the effect of green activity is mediated by stress and social cohesion, rather than that it has a direct health effect, is discussed.","author":[{"dropping-particle":"","family":"Vries","given":"Sjerp","non-dropping-particle":"de","parse-names":false,"suffix":""},{"dropping-particle":"","family":"Dillen","given":"Sonja M E","non-dropping-particle":"van","parse-names":false,"suffix":""},{"dropping-particle":"","family":"Groenewegen","given":"Peter P","non-dropping-particle":"","parse-names":false,"suffix":""},{"dropping-particle":"","family":"Spreeuwenberg","given":"Peter","non-dropping-particle":"","parse-names":false,"suffix":""}],"container-title":"Social Science &amp; Medicine","id":"ITEM-2","issued":{"date-parts":[["2013"]]},"page":"26-33","title":"Streetscape greenery and health: Stress, social cohesion and physical activity as mediators","type":"article-journal","volume":"94"},"uris":["http://www.mendeley.com/documents/?uuid=258d91ca-4f5d-4360-97ee-7ad85a99c3f7"]}],"mendeley":{"formattedCitation":"(de Vries et al., 2013; Nieuwenhuijsen et al., 2017)","plainTextFormattedCitation":"(de Vries et al., 2013; Nieuwenhuijsen et al., 2017)","previouslyFormattedCitation":"(de Vries et al., 2013; Nieuwenhuijsen et al., 2017)"},"properties":{"noteIndex":0},"schema":"https://github.com/citation-style-language/schema/raw/master/csl-citation.json"}</w:instrText>
      </w:r>
      <w:r w:rsidR="0030341E" w:rsidRPr="00CF4278">
        <w:rPr>
          <w:lang w:val="en-GB"/>
        </w:rPr>
        <w:fldChar w:fldCharType="separate"/>
      </w:r>
      <w:r w:rsidR="005E18E4" w:rsidRPr="00CF4278">
        <w:rPr>
          <w:noProof/>
          <w:lang w:val="en-GB"/>
        </w:rPr>
        <w:t>(de Vries et al., 2013; Nieuwenhuijsen et al., 2017)</w:t>
      </w:r>
      <w:r w:rsidR="0030341E" w:rsidRPr="00CF4278">
        <w:rPr>
          <w:lang w:val="en-GB"/>
        </w:rPr>
        <w:fldChar w:fldCharType="end"/>
      </w:r>
      <w:r w:rsidR="0030341E" w:rsidRPr="00CF4278">
        <w:rPr>
          <w:lang w:val="en-GB"/>
        </w:rPr>
        <w:t xml:space="preserve">. </w:t>
      </w:r>
      <w:r w:rsidR="00E45AC5" w:rsidRPr="00CF4278">
        <w:rPr>
          <w:lang w:val="en-GB"/>
        </w:rPr>
        <w:t xml:space="preserve">Other built environment variables, </w:t>
      </w:r>
      <w:r w:rsidR="00A477A2" w:rsidRPr="00CF4278">
        <w:rPr>
          <w:lang w:val="en-GB"/>
        </w:rPr>
        <w:t>like</w:t>
      </w:r>
      <w:r w:rsidR="00E45AC5" w:rsidRPr="00CF4278">
        <w:rPr>
          <w:lang w:val="en-GB"/>
        </w:rPr>
        <w:t xml:space="preserve"> population density, were not considered because of potential collinearity with the environmental indicators.</w:t>
      </w:r>
      <w:r w:rsidR="003776CF" w:rsidRPr="00CF4278">
        <w:rPr>
          <w:i/>
          <w:iCs/>
          <w:lang w:val="en-GB"/>
        </w:rPr>
        <w:t xml:space="preserve"> </w:t>
      </w:r>
      <w:r w:rsidR="00D411E7" w:rsidRPr="00CF4278">
        <w:rPr>
          <w:lang w:val="en-GB"/>
        </w:rPr>
        <w:t>Seventh</w:t>
      </w:r>
      <w:r w:rsidR="00882F2D" w:rsidRPr="00CF4278">
        <w:rPr>
          <w:lang w:val="en-GB"/>
        </w:rPr>
        <w:t>,</w:t>
      </w:r>
      <w:r w:rsidR="00882F2D" w:rsidRPr="00A858D5">
        <w:rPr>
          <w:lang w:val="en-GB"/>
        </w:rPr>
        <w:t xml:space="preserve"> w</w:t>
      </w:r>
      <w:r w:rsidR="00284959" w:rsidRPr="00A858D5">
        <w:rPr>
          <w:lang w:val="en-GB"/>
        </w:rPr>
        <w:t>e used</w:t>
      </w:r>
      <w:r w:rsidR="007139E4" w:rsidRPr="00A858D5">
        <w:rPr>
          <w:lang w:val="en-GB"/>
        </w:rPr>
        <w:t xml:space="preserve"> a subjective indicator of health status; </w:t>
      </w:r>
      <w:r w:rsidR="007139E4" w:rsidRPr="00A858D5">
        <w:rPr>
          <w:color w:val="000000" w:themeColor="text1"/>
          <w:lang w:val="en-GB"/>
        </w:rPr>
        <w:t>however,</w:t>
      </w:r>
      <w:r w:rsidR="00307437" w:rsidRPr="00A858D5">
        <w:rPr>
          <w:color w:val="000000" w:themeColor="text1"/>
          <w:lang w:val="en-GB"/>
        </w:rPr>
        <w:t xml:space="preserve"> </w:t>
      </w:r>
      <w:r w:rsidR="007139E4" w:rsidRPr="00A858D5">
        <w:rPr>
          <w:color w:val="000000" w:themeColor="text1"/>
          <w:lang w:val="en-GB"/>
        </w:rPr>
        <w:t>self</w:t>
      </w:r>
      <w:r w:rsidR="004F51A0" w:rsidRPr="00A858D5">
        <w:rPr>
          <w:color w:val="000000" w:themeColor="text1"/>
          <w:lang w:val="en-GB"/>
        </w:rPr>
        <w:t xml:space="preserve">-perceived health is considered a reliable independent predictor of mortality and health service utilization and has been recommended to perform comparisons of health status in different populations </w:t>
      </w:r>
      <w:r w:rsidR="004F51A0" w:rsidRPr="00A858D5">
        <w:rPr>
          <w:color w:val="000000" w:themeColor="text1"/>
          <w:lang w:val="en-GB"/>
        </w:rPr>
        <w:fldChar w:fldCharType="begin" w:fldLock="1"/>
      </w:r>
      <w:r w:rsidR="0084260D" w:rsidRPr="00A858D5">
        <w:rPr>
          <w:color w:val="000000" w:themeColor="text1"/>
          <w:lang w:val="en-GB"/>
        </w:rPr>
        <w:instrText>ADDIN CSL_CITATION {"citationItems":[{"id":"ITEM-1","itemData":{"DOI":"10.1016/j.socscimed.2009.05.013","ISSN":"0277-9536","author":[{"dropping-particle":"","family":"Jylhä","given":"Marja","non-dropping-particle":"","parse-names":false,"suffix":""}],"container-title":"Social Science &amp; Medicine","id":"ITEM-1","issue":"3","issued":{"date-parts":[["2009"]]},"page":"307-316","publisher":"Elsevier Ltd","title":"What is self-rated health and why does it predict mortality? Towards a unified conceptual model","type":"article-journal","volume":"69"},"uris":["http://www.mendeley.com/documents/?uuid=d6a506be-20c0-45f3-9f7b-9c709ebac190"]}],"mendeley":{"formattedCitation":"(Jylhä, 2009)","plainTextFormattedCitation":"(Jylhä, 2009)","previouslyFormattedCitation":"(Jylhä, 2009)"},"properties":{"noteIndex":0},"schema":"https://github.com/citation-style-language/schema/raw/master/csl-citation.json"}</w:instrText>
      </w:r>
      <w:r w:rsidR="004F51A0" w:rsidRPr="00A858D5">
        <w:rPr>
          <w:color w:val="000000" w:themeColor="text1"/>
          <w:lang w:val="en-GB"/>
        </w:rPr>
        <w:fldChar w:fldCharType="separate"/>
      </w:r>
      <w:r w:rsidR="00D65768" w:rsidRPr="00A858D5">
        <w:rPr>
          <w:noProof/>
          <w:color w:val="000000" w:themeColor="text1"/>
          <w:lang w:val="en-GB"/>
        </w:rPr>
        <w:t>(Jylhä, 2009)</w:t>
      </w:r>
      <w:r w:rsidR="004F51A0" w:rsidRPr="00A858D5">
        <w:rPr>
          <w:color w:val="000000" w:themeColor="text1"/>
          <w:lang w:val="en-GB"/>
        </w:rPr>
        <w:fldChar w:fldCharType="end"/>
      </w:r>
      <w:r w:rsidR="004F51A0" w:rsidRPr="00A858D5">
        <w:rPr>
          <w:color w:val="000000" w:themeColor="text1"/>
          <w:lang w:val="en-GB"/>
        </w:rPr>
        <w:t>.</w:t>
      </w:r>
    </w:p>
    <w:p w14:paraId="7AC92C8B" w14:textId="304BEF46" w:rsidR="008B6F0C" w:rsidRPr="00A858D5" w:rsidRDefault="00B629C4" w:rsidP="00C07106">
      <w:pPr>
        <w:rPr>
          <w:lang w:val="en-GB"/>
        </w:rPr>
      </w:pPr>
      <w:r w:rsidRPr="00A858D5">
        <w:rPr>
          <w:lang w:val="en-GB"/>
        </w:rPr>
        <w:t xml:space="preserve">To our knowledge, this is the first study on health-related outcomes of green spaces investigating socioeconomic and demographic inequalities </w:t>
      </w:r>
      <w:r w:rsidR="004F0E25" w:rsidRPr="00A858D5">
        <w:rPr>
          <w:lang w:val="en-GB"/>
        </w:rPr>
        <w:t xml:space="preserve">applying </w:t>
      </w:r>
      <w:r w:rsidRPr="00A858D5">
        <w:rPr>
          <w:lang w:val="en-GB"/>
        </w:rPr>
        <w:t>an intersectional</w:t>
      </w:r>
      <w:r w:rsidR="004F0E25" w:rsidRPr="00A858D5">
        <w:rPr>
          <w:lang w:val="en-GB"/>
        </w:rPr>
        <w:t>ity</w:t>
      </w:r>
      <w:r w:rsidRPr="00A858D5">
        <w:rPr>
          <w:lang w:val="en-GB"/>
        </w:rPr>
        <w:t xml:space="preserve"> approach.</w:t>
      </w:r>
      <w:r w:rsidR="001D3BFE" w:rsidRPr="00A858D5">
        <w:rPr>
          <w:lang w:val="en-GB"/>
        </w:rPr>
        <w:t xml:space="preserve"> </w:t>
      </w:r>
      <w:r w:rsidRPr="00A858D5">
        <w:rPr>
          <w:lang w:val="en-GB"/>
        </w:rPr>
        <w:t xml:space="preserve">Our study </w:t>
      </w:r>
      <w:r w:rsidR="002E2D06" w:rsidRPr="00A858D5">
        <w:rPr>
          <w:lang w:val="en-GB"/>
        </w:rPr>
        <w:t>is based on a la</w:t>
      </w:r>
      <w:r w:rsidRPr="00A858D5">
        <w:rPr>
          <w:lang w:val="en-GB"/>
        </w:rPr>
        <w:t>r</w:t>
      </w:r>
      <w:r w:rsidR="002E2D06" w:rsidRPr="00A858D5">
        <w:rPr>
          <w:lang w:val="en-GB"/>
        </w:rPr>
        <w:t xml:space="preserve">ge </w:t>
      </w:r>
      <w:r w:rsidR="00840B43" w:rsidRPr="00A858D5">
        <w:rPr>
          <w:lang w:val="en-GB"/>
        </w:rPr>
        <w:t xml:space="preserve">administrative </w:t>
      </w:r>
      <w:r w:rsidRPr="00A858D5">
        <w:rPr>
          <w:lang w:val="en-GB"/>
        </w:rPr>
        <w:t>data</w:t>
      </w:r>
      <w:r w:rsidR="002E2D06" w:rsidRPr="00A858D5">
        <w:rPr>
          <w:lang w:val="en-GB"/>
        </w:rPr>
        <w:t>set</w:t>
      </w:r>
      <w:r w:rsidRPr="00A858D5">
        <w:rPr>
          <w:lang w:val="en-GB"/>
        </w:rPr>
        <w:t xml:space="preserve"> covering </w:t>
      </w:r>
      <w:r w:rsidR="002E2D06" w:rsidRPr="00A858D5">
        <w:rPr>
          <w:lang w:val="en-GB"/>
        </w:rPr>
        <w:t xml:space="preserve">the </w:t>
      </w:r>
      <w:r w:rsidR="00E3319A" w:rsidRPr="00A858D5">
        <w:rPr>
          <w:lang w:val="en-GB"/>
        </w:rPr>
        <w:t xml:space="preserve">entire BCR </w:t>
      </w:r>
      <w:r w:rsidR="002E2D06" w:rsidRPr="00A858D5">
        <w:rPr>
          <w:lang w:val="en-GB"/>
        </w:rPr>
        <w:t xml:space="preserve">population and </w:t>
      </w:r>
      <w:r w:rsidR="00E3319A" w:rsidRPr="00A858D5">
        <w:rPr>
          <w:lang w:val="en-GB"/>
        </w:rPr>
        <w:t xml:space="preserve">including </w:t>
      </w:r>
      <w:r w:rsidRPr="00A858D5">
        <w:rPr>
          <w:lang w:val="en-GB"/>
        </w:rPr>
        <w:t xml:space="preserve">a wide set of relevant </w:t>
      </w:r>
      <w:r w:rsidR="00E3319A" w:rsidRPr="00A858D5">
        <w:rPr>
          <w:lang w:val="en-GB"/>
        </w:rPr>
        <w:t>indicators</w:t>
      </w:r>
      <w:r w:rsidRPr="00A858D5">
        <w:rPr>
          <w:lang w:val="en-GB"/>
        </w:rPr>
        <w:t>, i.e.</w:t>
      </w:r>
      <w:r w:rsidR="00720071">
        <w:rPr>
          <w:lang w:val="en-GB"/>
        </w:rPr>
        <w:t>,</w:t>
      </w:r>
      <w:r w:rsidRPr="00A858D5">
        <w:rPr>
          <w:lang w:val="en-GB"/>
        </w:rPr>
        <w:t xml:space="preserve"> </w:t>
      </w:r>
      <w:r w:rsidR="000267AF" w:rsidRPr="00A858D5">
        <w:rPr>
          <w:lang w:val="en-GB"/>
        </w:rPr>
        <w:t>socio</w:t>
      </w:r>
      <w:r w:rsidR="00F77E3F" w:rsidRPr="00A858D5">
        <w:rPr>
          <w:lang w:val="en-GB"/>
        </w:rPr>
        <w:t xml:space="preserve">economic and </w:t>
      </w:r>
      <w:r w:rsidR="000267AF" w:rsidRPr="00A858D5">
        <w:rPr>
          <w:lang w:val="en-GB"/>
        </w:rPr>
        <w:t xml:space="preserve">demographic indicators, </w:t>
      </w:r>
      <w:r w:rsidRPr="00A858D5">
        <w:rPr>
          <w:lang w:val="en-GB"/>
        </w:rPr>
        <w:t xml:space="preserve">subjective information </w:t>
      </w:r>
      <w:r w:rsidR="00602262" w:rsidRPr="00A858D5">
        <w:rPr>
          <w:lang w:val="en-GB"/>
        </w:rPr>
        <w:t>on</w:t>
      </w:r>
      <w:r w:rsidRPr="00A858D5">
        <w:rPr>
          <w:lang w:val="en-GB"/>
        </w:rPr>
        <w:t xml:space="preserve"> self-perceived health, </w:t>
      </w:r>
      <w:r w:rsidR="002E2D06" w:rsidRPr="00A858D5">
        <w:rPr>
          <w:lang w:val="en-GB"/>
        </w:rPr>
        <w:t>linked to i</w:t>
      </w:r>
      <w:r w:rsidR="001D535D" w:rsidRPr="00A858D5">
        <w:rPr>
          <w:lang w:val="en-GB"/>
        </w:rPr>
        <w:t>nformation</w:t>
      </w:r>
      <w:r w:rsidR="00A03E9D" w:rsidRPr="00A858D5">
        <w:rPr>
          <w:lang w:val="en-GB"/>
        </w:rPr>
        <w:t xml:space="preserve"> on</w:t>
      </w:r>
      <w:r w:rsidR="002B04F5" w:rsidRPr="00A858D5">
        <w:rPr>
          <w:lang w:val="en-GB"/>
        </w:rPr>
        <w:t xml:space="preserve"> </w:t>
      </w:r>
      <w:r w:rsidR="00A03E9D" w:rsidRPr="00A858D5">
        <w:rPr>
          <w:lang w:val="en-GB"/>
        </w:rPr>
        <w:t xml:space="preserve">natural cause mortality for a </w:t>
      </w:r>
      <w:r w:rsidR="002B04F5" w:rsidRPr="00A858D5">
        <w:rPr>
          <w:lang w:val="en-GB"/>
        </w:rPr>
        <w:t>13-year</w:t>
      </w:r>
      <w:r w:rsidR="009F2EB8" w:rsidRPr="00A858D5">
        <w:rPr>
          <w:lang w:val="en-GB"/>
        </w:rPr>
        <w:t xml:space="preserve"> follow-up</w:t>
      </w:r>
      <w:r w:rsidR="0021742F" w:rsidRPr="00A858D5">
        <w:rPr>
          <w:lang w:val="en-GB"/>
        </w:rPr>
        <w:t>.</w:t>
      </w:r>
      <w:r w:rsidRPr="00A858D5">
        <w:rPr>
          <w:lang w:val="en-GB"/>
        </w:rPr>
        <w:t xml:space="preserve"> </w:t>
      </w:r>
      <w:r w:rsidR="002E2D06" w:rsidRPr="00A858D5">
        <w:rPr>
          <w:lang w:val="en-GB"/>
        </w:rPr>
        <w:t>Moreover, e</w:t>
      </w:r>
      <w:r w:rsidRPr="00A858D5">
        <w:rPr>
          <w:lang w:val="en-GB"/>
        </w:rPr>
        <w:t>xposure to residential UGS was assessed through objective</w:t>
      </w:r>
      <w:r w:rsidR="002E2D06" w:rsidRPr="00A858D5">
        <w:rPr>
          <w:lang w:val="en-GB"/>
        </w:rPr>
        <w:t xml:space="preserve"> indicators</w:t>
      </w:r>
      <w:r w:rsidRPr="00A858D5">
        <w:rPr>
          <w:lang w:val="en-GB"/>
        </w:rPr>
        <w:t xml:space="preserve"> </w:t>
      </w:r>
      <w:r w:rsidR="002E2D06" w:rsidRPr="00A858D5">
        <w:rPr>
          <w:lang w:val="en-GB"/>
        </w:rPr>
        <w:t xml:space="preserve">derived from high-resolution data sources, supplemented with </w:t>
      </w:r>
      <w:r w:rsidRPr="00A858D5">
        <w:rPr>
          <w:lang w:val="en-GB"/>
        </w:rPr>
        <w:t>subjective indicators</w:t>
      </w:r>
      <w:r w:rsidR="002E2D06" w:rsidRPr="00A858D5">
        <w:rPr>
          <w:lang w:val="en-GB"/>
        </w:rPr>
        <w:t xml:space="preserve"> </w:t>
      </w:r>
      <w:r w:rsidR="00922449" w:rsidRPr="00A858D5">
        <w:rPr>
          <w:lang w:val="en-GB"/>
        </w:rPr>
        <w:t xml:space="preserve">obtained </w:t>
      </w:r>
      <w:r w:rsidR="002E2D06" w:rsidRPr="00A858D5">
        <w:rPr>
          <w:lang w:val="en-GB"/>
        </w:rPr>
        <w:t>from census data</w:t>
      </w:r>
      <w:r w:rsidRPr="00A858D5">
        <w:rPr>
          <w:lang w:val="en-GB"/>
        </w:rPr>
        <w:t>.</w:t>
      </w:r>
      <w:r w:rsidR="00D957AB" w:rsidRPr="00A858D5">
        <w:rPr>
          <w:lang w:val="en-GB"/>
        </w:rPr>
        <w:t xml:space="preserve"> </w:t>
      </w:r>
      <w:r w:rsidR="0039568A" w:rsidRPr="00A858D5">
        <w:rPr>
          <w:lang w:val="en-GB"/>
        </w:rPr>
        <w:t xml:space="preserve">Additionally, high resolution information on environmental hazards, such as air and noise pollution, was available at the residential level. </w:t>
      </w:r>
      <w:r w:rsidR="00617A5F" w:rsidRPr="00A858D5">
        <w:rPr>
          <w:lang w:val="en-GB"/>
        </w:rPr>
        <w:t xml:space="preserve">The </w:t>
      </w:r>
      <w:r w:rsidR="00926187" w:rsidRPr="00A858D5">
        <w:rPr>
          <w:lang w:val="en-GB"/>
        </w:rPr>
        <w:t xml:space="preserve">application </w:t>
      </w:r>
      <w:r w:rsidR="00617A5F" w:rsidRPr="00A858D5">
        <w:rPr>
          <w:lang w:val="en-GB"/>
        </w:rPr>
        <w:t>of an intersectionality approach was</w:t>
      </w:r>
      <w:r w:rsidR="00217C01" w:rsidRPr="00A858D5">
        <w:rPr>
          <w:lang w:val="en-GB"/>
        </w:rPr>
        <w:t xml:space="preserve"> possible thanks to the </w:t>
      </w:r>
      <w:r w:rsidR="0065175E" w:rsidRPr="00A858D5">
        <w:rPr>
          <w:lang w:val="en-GB"/>
        </w:rPr>
        <w:t>large size of the study population</w:t>
      </w:r>
      <w:r w:rsidR="00217C01" w:rsidRPr="00A858D5">
        <w:rPr>
          <w:lang w:val="en-GB"/>
        </w:rPr>
        <w:t>, which</w:t>
      </w:r>
      <w:r w:rsidR="0065175E" w:rsidRPr="00A858D5">
        <w:rPr>
          <w:lang w:val="en-GB"/>
        </w:rPr>
        <w:t xml:space="preserve"> allowed for the use of </w:t>
      </w:r>
      <w:r w:rsidR="001634F1">
        <w:rPr>
          <w:lang w:val="en-GB"/>
        </w:rPr>
        <w:t>different</w:t>
      </w:r>
      <w:r w:rsidR="005F0754">
        <w:rPr>
          <w:lang w:val="en-GB"/>
        </w:rPr>
        <w:t xml:space="preserve"> stratification</w:t>
      </w:r>
      <w:r w:rsidR="001634F1">
        <w:rPr>
          <w:lang w:val="en-GB"/>
        </w:rPr>
        <w:t xml:space="preserve"> levels</w:t>
      </w:r>
      <w:r w:rsidR="0065175E" w:rsidRPr="00A858D5">
        <w:rPr>
          <w:lang w:val="en-GB"/>
        </w:rPr>
        <w:t xml:space="preserve"> without losing statistical power</w:t>
      </w:r>
      <w:r w:rsidR="00217C01" w:rsidRPr="00A858D5">
        <w:rPr>
          <w:lang w:val="en-GB"/>
        </w:rPr>
        <w:t>, and the follow-up</w:t>
      </w:r>
      <w:r w:rsidR="0039568A" w:rsidRPr="00A858D5">
        <w:rPr>
          <w:lang w:val="en-GB"/>
        </w:rPr>
        <w:t xml:space="preserve"> long enough to detect differences</w:t>
      </w:r>
      <w:r w:rsidR="0065175E" w:rsidRPr="00A858D5">
        <w:rPr>
          <w:lang w:val="en-GB"/>
        </w:rPr>
        <w:t>. Furthermore, using the Brussels Capital Region as study setting enabled us to investigate a population with very diverse migrant backgrounds, both from high and low and middle-income countries, and socioeconomic status.</w:t>
      </w:r>
    </w:p>
    <w:p w14:paraId="39E55F18" w14:textId="2D26BAEA" w:rsidR="00C77507" w:rsidRPr="00A858D5" w:rsidRDefault="00C77507" w:rsidP="00C77507">
      <w:pPr>
        <w:pStyle w:val="Heading1"/>
        <w:numPr>
          <w:ilvl w:val="0"/>
          <w:numId w:val="2"/>
        </w:numPr>
        <w:rPr>
          <w:lang w:val="en-GB"/>
        </w:rPr>
      </w:pPr>
      <w:r w:rsidRPr="00A858D5">
        <w:rPr>
          <w:lang w:val="en-GB"/>
        </w:rPr>
        <w:t>Conclusions</w:t>
      </w:r>
    </w:p>
    <w:p w14:paraId="77EEB899" w14:textId="06C755BC" w:rsidR="00A9511B" w:rsidRPr="00A858D5" w:rsidRDefault="00CE2DB4" w:rsidP="00A9511B">
      <w:pPr>
        <w:rPr>
          <w:lang w:val="en-GB"/>
        </w:rPr>
      </w:pPr>
      <w:r w:rsidRPr="00A858D5">
        <w:rPr>
          <w:lang w:val="en-GB"/>
        </w:rPr>
        <w:t>We observed</w:t>
      </w:r>
      <w:r w:rsidR="00B866CD" w:rsidRPr="00A858D5">
        <w:rPr>
          <w:lang w:val="en-GB"/>
        </w:rPr>
        <w:t xml:space="preserve"> that</w:t>
      </w:r>
      <w:r w:rsidR="007931F1" w:rsidRPr="00A858D5">
        <w:rPr>
          <w:lang w:val="en-GB"/>
        </w:rPr>
        <w:t>, in Brussels,</w:t>
      </w:r>
      <w:r w:rsidR="00B94B07" w:rsidRPr="00A858D5">
        <w:rPr>
          <w:lang w:val="en-GB"/>
        </w:rPr>
        <w:t xml:space="preserve"> living in areas with higher</w:t>
      </w:r>
      <w:r w:rsidR="00B866CD" w:rsidRPr="00A858D5">
        <w:rPr>
          <w:lang w:val="en-GB"/>
        </w:rPr>
        <w:t xml:space="preserve"> residential</w:t>
      </w:r>
      <w:r w:rsidR="00096C49" w:rsidRPr="00A858D5">
        <w:rPr>
          <w:lang w:val="en-GB"/>
        </w:rPr>
        <w:t xml:space="preserve"> surrounding</w:t>
      </w:r>
      <w:r w:rsidR="00B94B07" w:rsidRPr="00A858D5">
        <w:rPr>
          <w:lang w:val="en-GB"/>
        </w:rPr>
        <w:t xml:space="preserve"> greenness</w:t>
      </w:r>
      <w:r w:rsidR="009D7BA2" w:rsidRPr="00A858D5">
        <w:rPr>
          <w:lang w:val="en-GB"/>
        </w:rPr>
        <w:t xml:space="preserve"> and</w:t>
      </w:r>
      <w:r w:rsidR="00E22896" w:rsidRPr="00A858D5">
        <w:rPr>
          <w:lang w:val="en-GB"/>
        </w:rPr>
        <w:t xml:space="preserve"> </w:t>
      </w:r>
      <w:r w:rsidR="000235C8" w:rsidRPr="00A858D5">
        <w:rPr>
          <w:lang w:val="en-GB"/>
        </w:rPr>
        <w:t>better</w:t>
      </w:r>
      <w:r w:rsidR="00B94B07" w:rsidRPr="00A858D5">
        <w:rPr>
          <w:lang w:val="en-GB"/>
        </w:rPr>
        <w:t xml:space="preserve"> </w:t>
      </w:r>
      <w:r w:rsidR="009D7BA2" w:rsidRPr="00A858D5">
        <w:rPr>
          <w:lang w:val="en-GB"/>
        </w:rPr>
        <w:t>perce</w:t>
      </w:r>
      <w:r w:rsidR="00E22896" w:rsidRPr="00A858D5">
        <w:rPr>
          <w:lang w:val="en-GB"/>
        </w:rPr>
        <w:t>ption of neighbo</w:t>
      </w:r>
      <w:r w:rsidR="00DC530B" w:rsidRPr="00A858D5">
        <w:rPr>
          <w:lang w:val="en-GB"/>
        </w:rPr>
        <w:t>u</w:t>
      </w:r>
      <w:r w:rsidR="00E22896" w:rsidRPr="00A858D5">
        <w:rPr>
          <w:lang w:val="en-GB"/>
        </w:rPr>
        <w:t>rhood</w:t>
      </w:r>
      <w:r w:rsidR="00E53BC0" w:rsidRPr="00A858D5">
        <w:rPr>
          <w:lang w:val="en-GB"/>
        </w:rPr>
        <w:t xml:space="preserve"> </w:t>
      </w:r>
      <w:r w:rsidR="009D7BA2" w:rsidRPr="00A858D5">
        <w:rPr>
          <w:lang w:val="en-GB"/>
        </w:rPr>
        <w:t xml:space="preserve">greenness </w:t>
      </w:r>
      <w:r w:rsidR="00D96B44" w:rsidRPr="00A858D5">
        <w:rPr>
          <w:lang w:val="en-GB"/>
        </w:rPr>
        <w:t xml:space="preserve">is inversely associated with </w:t>
      </w:r>
      <w:r w:rsidR="00580FA4" w:rsidRPr="00A858D5">
        <w:rPr>
          <w:lang w:val="en-GB"/>
        </w:rPr>
        <w:t>poor self-perceived health</w:t>
      </w:r>
      <w:r w:rsidR="008910FA" w:rsidRPr="00A858D5">
        <w:rPr>
          <w:lang w:val="en-GB"/>
        </w:rPr>
        <w:t xml:space="preserve"> at </w:t>
      </w:r>
      <w:r w:rsidR="008910FA" w:rsidRPr="00A858D5">
        <w:rPr>
          <w:lang w:val="en-GB"/>
        </w:rPr>
        <w:lastRenderedPageBreak/>
        <w:t xml:space="preserve">baseline and </w:t>
      </w:r>
      <w:r w:rsidR="00833625" w:rsidRPr="00A858D5">
        <w:rPr>
          <w:lang w:val="en-GB"/>
        </w:rPr>
        <w:t xml:space="preserve">death </w:t>
      </w:r>
      <w:r w:rsidRPr="00A858D5">
        <w:rPr>
          <w:lang w:val="en-GB"/>
        </w:rPr>
        <w:t xml:space="preserve">from </w:t>
      </w:r>
      <w:r w:rsidR="00936AC4" w:rsidRPr="00A858D5">
        <w:rPr>
          <w:lang w:val="en-GB"/>
        </w:rPr>
        <w:t xml:space="preserve">a </w:t>
      </w:r>
      <w:r w:rsidRPr="00A858D5">
        <w:rPr>
          <w:lang w:val="en-GB"/>
        </w:rPr>
        <w:t xml:space="preserve">natural cause </w:t>
      </w:r>
      <w:r w:rsidR="001A1CE8" w:rsidRPr="00A858D5">
        <w:rPr>
          <w:lang w:val="en-GB"/>
        </w:rPr>
        <w:t>over a 1</w:t>
      </w:r>
      <w:r w:rsidR="00833625" w:rsidRPr="00A858D5">
        <w:rPr>
          <w:lang w:val="en-GB"/>
        </w:rPr>
        <w:t>3</w:t>
      </w:r>
      <w:r w:rsidR="001A1CE8" w:rsidRPr="00A858D5">
        <w:rPr>
          <w:lang w:val="en-GB"/>
        </w:rPr>
        <w:t>-year follow-up period.</w:t>
      </w:r>
      <w:r w:rsidR="00011454" w:rsidRPr="00A858D5">
        <w:rPr>
          <w:lang w:val="en-GB"/>
        </w:rPr>
        <w:t xml:space="preserve"> </w:t>
      </w:r>
      <w:r w:rsidR="00080649" w:rsidRPr="00A858D5">
        <w:rPr>
          <w:lang w:val="en-GB"/>
        </w:rPr>
        <w:t>W</w:t>
      </w:r>
      <w:r w:rsidR="00F44D23" w:rsidRPr="00A858D5">
        <w:rPr>
          <w:lang w:val="en-GB"/>
        </w:rPr>
        <w:t xml:space="preserve">e found </w:t>
      </w:r>
      <w:r w:rsidR="00D03BA2" w:rsidRPr="00A858D5">
        <w:rPr>
          <w:lang w:val="en-GB"/>
        </w:rPr>
        <w:t>a consistent</w:t>
      </w:r>
      <w:r w:rsidR="001F52E2" w:rsidRPr="00A858D5">
        <w:rPr>
          <w:lang w:val="en-GB"/>
        </w:rPr>
        <w:t xml:space="preserve"> </w:t>
      </w:r>
      <w:r w:rsidR="00D03BA2" w:rsidRPr="00A858D5">
        <w:rPr>
          <w:lang w:val="en-GB"/>
        </w:rPr>
        <w:t>pattern</w:t>
      </w:r>
      <w:r w:rsidR="002646A3" w:rsidRPr="00A858D5">
        <w:rPr>
          <w:lang w:val="en-GB"/>
        </w:rPr>
        <w:t xml:space="preserve"> showing </w:t>
      </w:r>
      <w:r w:rsidR="00AD7EF5" w:rsidRPr="00A858D5">
        <w:rPr>
          <w:lang w:val="en-GB"/>
        </w:rPr>
        <w:t xml:space="preserve">a greater </w:t>
      </w:r>
      <w:r w:rsidR="00C11097" w:rsidRPr="00A858D5">
        <w:rPr>
          <w:lang w:val="en-GB"/>
        </w:rPr>
        <w:t xml:space="preserve">protective </w:t>
      </w:r>
      <w:r w:rsidR="00AD7EF5" w:rsidRPr="00A858D5">
        <w:rPr>
          <w:lang w:val="en-GB"/>
        </w:rPr>
        <w:t>effect</w:t>
      </w:r>
      <w:r w:rsidR="00D03BA2" w:rsidRPr="00A858D5">
        <w:rPr>
          <w:lang w:val="en-GB"/>
        </w:rPr>
        <w:t xml:space="preserve"> </w:t>
      </w:r>
      <w:r w:rsidR="00C64DD2" w:rsidRPr="00A858D5">
        <w:rPr>
          <w:lang w:val="en-GB"/>
        </w:rPr>
        <w:t>among low-educated</w:t>
      </w:r>
      <w:r w:rsidR="00BC7D8D" w:rsidRPr="00A858D5">
        <w:rPr>
          <w:lang w:val="en-GB"/>
        </w:rPr>
        <w:t xml:space="preserve"> individuals</w:t>
      </w:r>
      <w:r w:rsidR="0074648E" w:rsidRPr="00A858D5">
        <w:rPr>
          <w:lang w:val="en-GB"/>
        </w:rPr>
        <w:t xml:space="preserve">, </w:t>
      </w:r>
      <w:r w:rsidR="004530C8" w:rsidRPr="00A858D5">
        <w:rPr>
          <w:lang w:val="en-GB"/>
        </w:rPr>
        <w:t xml:space="preserve">that is </w:t>
      </w:r>
      <w:r w:rsidR="0074648E" w:rsidRPr="00A858D5">
        <w:rPr>
          <w:lang w:val="en-GB"/>
        </w:rPr>
        <w:t xml:space="preserve">especially strong </w:t>
      </w:r>
      <w:r w:rsidR="008C4C99" w:rsidRPr="00A858D5">
        <w:rPr>
          <w:lang w:val="en-GB"/>
        </w:rPr>
        <w:t>among women</w:t>
      </w:r>
      <w:r w:rsidR="001C4061" w:rsidRPr="00A858D5">
        <w:rPr>
          <w:lang w:val="en-GB"/>
        </w:rPr>
        <w:t>, regardless their migrant background</w:t>
      </w:r>
      <w:r w:rsidR="002E2D06" w:rsidRPr="00A858D5">
        <w:rPr>
          <w:lang w:val="en-GB"/>
        </w:rPr>
        <w:t>.</w:t>
      </w:r>
      <w:r w:rsidR="00C930F5" w:rsidRPr="00A858D5">
        <w:rPr>
          <w:lang w:val="en-GB"/>
        </w:rPr>
        <w:t xml:space="preserve"> We observed no </w:t>
      </w:r>
      <w:r w:rsidR="00544C10" w:rsidRPr="00A858D5">
        <w:rPr>
          <w:lang w:val="en-GB"/>
        </w:rPr>
        <w:t xml:space="preserve">statistically significant </w:t>
      </w:r>
      <w:r w:rsidR="00C930F5" w:rsidRPr="00A858D5">
        <w:rPr>
          <w:lang w:val="en-GB"/>
        </w:rPr>
        <w:t>associations in men originating from LMIC</w:t>
      </w:r>
      <w:r w:rsidR="00376095" w:rsidRPr="00A858D5">
        <w:rPr>
          <w:lang w:val="en-GB"/>
        </w:rPr>
        <w:t xml:space="preserve"> </w:t>
      </w:r>
      <w:r w:rsidR="00C930F5" w:rsidRPr="00A858D5">
        <w:rPr>
          <w:lang w:val="en-GB"/>
        </w:rPr>
        <w:t xml:space="preserve">countries. </w:t>
      </w:r>
      <w:r w:rsidR="00EF4DCE" w:rsidRPr="00A858D5">
        <w:rPr>
          <w:lang w:val="en-GB"/>
        </w:rPr>
        <w:t>In order to</w:t>
      </w:r>
      <w:r w:rsidR="00971FC8" w:rsidRPr="00A858D5">
        <w:rPr>
          <w:lang w:val="en-GB"/>
        </w:rPr>
        <w:t xml:space="preserve"> better understand the underlying mechanisms</w:t>
      </w:r>
      <w:r w:rsidR="0065658E" w:rsidRPr="00A858D5">
        <w:rPr>
          <w:lang w:val="en-GB"/>
        </w:rPr>
        <w:t xml:space="preserve"> of these associations</w:t>
      </w:r>
      <w:r w:rsidR="00971FC8" w:rsidRPr="00A858D5">
        <w:rPr>
          <w:lang w:val="en-GB"/>
        </w:rPr>
        <w:t>, f</w:t>
      </w:r>
      <w:r w:rsidR="00EC3479" w:rsidRPr="00A858D5">
        <w:rPr>
          <w:lang w:val="en-GB"/>
        </w:rPr>
        <w:t>uture research should focus on</w:t>
      </w:r>
      <w:r w:rsidR="00ED0431" w:rsidRPr="00A858D5">
        <w:rPr>
          <w:lang w:val="en-GB"/>
        </w:rPr>
        <w:t xml:space="preserve"> </w:t>
      </w:r>
      <w:r w:rsidR="003C7453" w:rsidRPr="00A858D5">
        <w:rPr>
          <w:lang w:val="en-GB"/>
        </w:rPr>
        <w:t>the quality of</w:t>
      </w:r>
      <w:r w:rsidR="00BC7D8D" w:rsidRPr="00A858D5">
        <w:rPr>
          <w:lang w:val="en-GB"/>
        </w:rPr>
        <w:t xml:space="preserve"> and contact with</w:t>
      </w:r>
      <w:r w:rsidR="003C7453" w:rsidRPr="00A858D5">
        <w:rPr>
          <w:lang w:val="en-GB"/>
        </w:rPr>
        <w:t xml:space="preserve"> green spaces</w:t>
      </w:r>
      <w:r w:rsidR="009F7301" w:rsidRPr="00A858D5">
        <w:rPr>
          <w:lang w:val="en-GB"/>
        </w:rPr>
        <w:t xml:space="preserve">. Our research </w:t>
      </w:r>
      <w:r w:rsidR="00AE7E3C" w:rsidRPr="00A858D5">
        <w:rPr>
          <w:lang w:val="en-GB"/>
        </w:rPr>
        <w:t>shows</w:t>
      </w:r>
      <w:r w:rsidR="009F7301" w:rsidRPr="00A858D5">
        <w:rPr>
          <w:lang w:val="en-GB"/>
        </w:rPr>
        <w:t xml:space="preserve"> the importance of</w:t>
      </w:r>
      <w:r w:rsidR="00166ED8" w:rsidRPr="00A858D5">
        <w:rPr>
          <w:lang w:val="en-GB"/>
        </w:rPr>
        <w:t xml:space="preserve"> </w:t>
      </w:r>
      <w:r w:rsidR="002E2D06" w:rsidRPr="00A858D5">
        <w:rPr>
          <w:lang w:val="en-GB"/>
        </w:rPr>
        <w:t xml:space="preserve">simultaneously </w:t>
      </w:r>
      <w:proofErr w:type="gramStart"/>
      <w:r w:rsidR="00166ED8" w:rsidRPr="00A858D5">
        <w:rPr>
          <w:lang w:val="en-GB"/>
        </w:rPr>
        <w:t>taking into account</w:t>
      </w:r>
      <w:proofErr w:type="gramEnd"/>
      <w:r w:rsidR="00166ED8" w:rsidRPr="00A858D5">
        <w:rPr>
          <w:lang w:val="en-GB"/>
        </w:rPr>
        <w:t xml:space="preserve"> </w:t>
      </w:r>
      <w:r w:rsidR="008C7178" w:rsidRPr="00A858D5">
        <w:rPr>
          <w:lang w:val="en-GB"/>
        </w:rPr>
        <w:t>several</w:t>
      </w:r>
      <w:r w:rsidR="00166ED8" w:rsidRPr="00A858D5">
        <w:rPr>
          <w:lang w:val="en-GB"/>
        </w:rPr>
        <w:t xml:space="preserve"> social dimensions</w:t>
      </w:r>
      <w:r w:rsidR="00787247" w:rsidRPr="00A858D5">
        <w:rPr>
          <w:lang w:val="en-GB"/>
        </w:rPr>
        <w:t xml:space="preserve"> (gender, </w:t>
      </w:r>
      <w:r w:rsidR="00A83419" w:rsidRPr="00A858D5">
        <w:rPr>
          <w:lang w:val="en-GB"/>
        </w:rPr>
        <w:t xml:space="preserve">educational attainment, </w:t>
      </w:r>
      <w:r w:rsidR="00787247" w:rsidRPr="00A858D5">
        <w:rPr>
          <w:lang w:val="en-GB"/>
        </w:rPr>
        <w:t>and migrant background)</w:t>
      </w:r>
      <w:r w:rsidR="008C7178" w:rsidRPr="00A858D5">
        <w:rPr>
          <w:lang w:val="en-GB"/>
        </w:rPr>
        <w:t xml:space="preserve"> </w:t>
      </w:r>
      <w:r w:rsidR="002E2D06" w:rsidRPr="00A858D5">
        <w:rPr>
          <w:lang w:val="en-GB"/>
        </w:rPr>
        <w:t>in order to bette</w:t>
      </w:r>
      <w:r w:rsidR="000B36FB" w:rsidRPr="00A858D5">
        <w:rPr>
          <w:lang w:val="en-GB"/>
        </w:rPr>
        <w:t xml:space="preserve">r understand </w:t>
      </w:r>
      <w:r w:rsidR="007766AC">
        <w:rPr>
          <w:lang w:val="en-GB"/>
        </w:rPr>
        <w:t>social</w:t>
      </w:r>
      <w:r w:rsidR="00F45AA3" w:rsidRPr="00A858D5">
        <w:rPr>
          <w:lang w:val="en-GB"/>
        </w:rPr>
        <w:t xml:space="preserve"> inequalit</w:t>
      </w:r>
      <w:r w:rsidR="007766AC">
        <w:rPr>
          <w:lang w:val="en-GB"/>
        </w:rPr>
        <w:t>ies</w:t>
      </w:r>
      <w:r w:rsidR="00F45AA3" w:rsidRPr="00A858D5">
        <w:rPr>
          <w:lang w:val="en-GB"/>
        </w:rPr>
        <w:t xml:space="preserve"> </w:t>
      </w:r>
      <w:r w:rsidR="002E2D06" w:rsidRPr="00A858D5">
        <w:rPr>
          <w:lang w:val="en-GB"/>
        </w:rPr>
        <w:t xml:space="preserve">underlying </w:t>
      </w:r>
      <w:r w:rsidR="00F45AA3" w:rsidRPr="00A858D5">
        <w:rPr>
          <w:lang w:val="en-GB"/>
        </w:rPr>
        <w:t xml:space="preserve">the </w:t>
      </w:r>
      <w:r w:rsidR="00787247" w:rsidRPr="00A858D5">
        <w:rPr>
          <w:lang w:val="en-GB"/>
        </w:rPr>
        <w:t>health-related benefits of green spaces</w:t>
      </w:r>
      <w:r w:rsidR="003C7453" w:rsidRPr="00A858D5">
        <w:rPr>
          <w:lang w:val="en-GB"/>
        </w:rPr>
        <w:t>.</w:t>
      </w:r>
      <w:r w:rsidR="00907BA4" w:rsidRPr="00A858D5">
        <w:rPr>
          <w:lang w:val="en-GB"/>
        </w:rPr>
        <w:t xml:space="preserve"> </w:t>
      </w:r>
      <w:r w:rsidR="002E2D06" w:rsidRPr="00A858D5">
        <w:rPr>
          <w:lang w:val="en-GB"/>
        </w:rPr>
        <w:t xml:space="preserve">Therefore, </w:t>
      </w:r>
      <w:r w:rsidR="00DB700C" w:rsidRPr="00A858D5">
        <w:rPr>
          <w:lang w:val="en-GB"/>
        </w:rPr>
        <w:t>urban planners and policy makers</w:t>
      </w:r>
      <w:r w:rsidR="00881908" w:rsidRPr="00A858D5">
        <w:rPr>
          <w:lang w:val="en-GB"/>
        </w:rPr>
        <w:t xml:space="preserve"> </w:t>
      </w:r>
      <w:r w:rsidR="00AE7F80" w:rsidRPr="00A858D5">
        <w:rPr>
          <w:lang w:val="en-GB"/>
        </w:rPr>
        <w:t>should</w:t>
      </w:r>
      <w:r w:rsidR="003E0595" w:rsidRPr="00A858D5">
        <w:rPr>
          <w:lang w:val="en-GB"/>
        </w:rPr>
        <w:t xml:space="preserve"> </w:t>
      </w:r>
      <w:proofErr w:type="gramStart"/>
      <w:r w:rsidR="003E0595" w:rsidRPr="00A858D5">
        <w:rPr>
          <w:lang w:val="en-GB"/>
        </w:rPr>
        <w:t>take into account</w:t>
      </w:r>
      <w:proofErr w:type="gramEnd"/>
      <w:r w:rsidR="00B92B0D" w:rsidRPr="00A858D5">
        <w:rPr>
          <w:lang w:val="en-GB"/>
        </w:rPr>
        <w:t xml:space="preserve"> the distribution of </w:t>
      </w:r>
      <w:r w:rsidR="00132FD5" w:rsidRPr="00A858D5">
        <w:rPr>
          <w:lang w:val="en-GB"/>
        </w:rPr>
        <w:t xml:space="preserve">different social strata in </w:t>
      </w:r>
      <w:r w:rsidR="00B92B0D" w:rsidRPr="00A858D5">
        <w:rPr>
          <w:lang w:val="en-GB"/>
        </w:rPr>
        <w:t>the population</w:t>
      </w:r>
      <w:r w:rsidR="0054580E" w:rsidRPr="00A858D5">
        <w:rPr>
          <w:lang w:val="en-GB"/>
        </w:rPr>
        <w:t xml:space="preserve"> in order to </w:t>
      </w:r>
      <w:r w:rsidR="00DA2C5C" w:rsidRPr="00A858D5">
        <w:rPr>
          <w:lang w:val="en-GB"/>
        </w:rPr>
        <w:t>maximize potential</w:t>
      </w:r>
      <w:r w:rsidR="00A362F1" w:rsidRPr="00A858D5">
        <w:rPr>
          <w:lang w:val="en-GB"/>
        </w:rPr>
        <w:t xml:space="preserve"> beneficial effects</w:t>
      </w:r>
      <w:r w:rsidR="00C853BA" w:rsidRPr="00A858D5">
        <w:rPr>
          <w:lang w:val="en-GB"/>
        </w:rPr>
        <w:t xml:space="preserve"> of</w:t>
      </w:r>
      <w:r w:rsidR="0054580E" w:rsidRPr="00A858D5">
        <w:rPr>
          <w:lang w:val="en-GB"/>
        </w:rPr>
        <w:t xml:space="preserve"> greening strategies</w:t>
      </w:r>
      <w:r w:rsidR="00DA2C5C" w:rsidRPr="00A858D5">
        <w:rPr>
          <w:lang w:val="en-GB"/>
        </w:rPr>
        <w:t xml:space="preserve"> in cities.</w:t>
      </w:r>
      <w:r w:rsidR="00145066" w:rsidRPr="00A858D5">
        <w:rPr>
          <w:lang w:val="en-GB"/>
        </w:rPr>
        <w:t xml:space="preserve"> </w:t>
      </w:r>
      <w:r w:rsidR="001C4061" w:rsidRPr="00A858D5">
        <w:rPr>
          <w:lang w:val="en-GB"/>
        </w:rPr>
        <w:t>Besides</w:t>
      </w:r>
      <w:r w:rsidR="00145066" w:rsidRPr="00A858D5">
        <w:rPr>
          <w:lang w:val="en-GB"/>
        </w:rPr>
        <w:t xml:space="preserve">, </w:t>
      </w:r>
      <w:r w:rsidR="00265A90" w:rsidRPr="00A858D5">
        <w:rPr>
          <w:lang w:val="en-GB"/>
        </w:rPr>
        <w:t>increasing</w:t>
      </w:r>
      <w:r w:rsidR="00BA3690" w:rsidRPr="00A858D5">
        <w:rPr>
          <w:lang w:val="en-GB"/>
        </w:rPr>
        <w:t xml:space="preserve"> </w:t>
      </w:r>
      <w:r w:rsidR="00145066" w:rsidRPr="00A858D5">
        <w:rPr>
          <w:lang w:val="en-GB"/>
        </w:rPr>
        <w:t xml:space="preserve">greening </w:t>
      </w:r>
      <w:r w:rsidR="00BA3690" w:rsidRPr="00A858D5">
        <w:rPr>
          <w:lang w:val="en-GB"/>
        </w:rPr>
        <w:t xml:space="preserve">infrastructure in cities </w:t>
      </w:r>
      <w:r w:rsidR="002237CE" w:rsidRPr="00A858D5">
        <w:rPr>
          <w:lang w:val="en-GB"/>
        </w:rPr>
        <w:t>has the potential to</w:t>
      </w:r>
      <w:r w:rsidR="00BA3690" w:rsidRPr="00A858D5">
        <w:rPr>
          <w:lang w:val="en-GB"/>
        </w:rPr>
        <w:t xml:space="preserve"> </w:t>
      </w:r>
      <w:r w:rsidR="00E57B86" w:rsidRPr="00A858D5">
        <w:rPr>
          <w:lang w:val="en-GB"/>
        </w:rPr>
        <w:t>act as a</w:t>
      </w:r>
      <w:r w:rsidR="00BA3690" w:rsidRPr="00A858D5">
        <w:rPr>
          <w:lang w:val="en-GB"/>
        </w:rPr>
        <w:t xml:space="preserve"> driver of gentrification</w:t>
      </w:r>
      <w:r w:rsidR="00446891" w:rsidRPr="00A858D5">
        <w:rPr>
          <w:lang w:val="en-GB"/>
        </w:rPr>
        <w:t xml:space="preserve">, which </w:t>
      </w:r>
      <w:r w:rsidR="00EF3E86" w:rsidRPr="00A858D5">
        <w:rPr>
          <w:lang w:val="en-GB"/>
        </w:rPr>
        <w:t>could</w:t>
      </w:r>
      <w:r w:rsidR="00446891" w:rsidRPr="00A858D5">
        <w:rPr>
          <w:lang w:val="en-GB"/>
        </w:rPr>
        <w:t xml:space="preserve"> </w:t>
      </w:r>
      <w:r w:rsidR="00FC50B9" w:rsidRPr="00A858D5">
        <w:rPr>
          <w:lang w:val="en-GB"/>
        </w:rPr>
        <w:t>deteriorate the health status of</w:t>
      </w:r>
      <w:r w:rsidR="00672BDA" w:rsidRPr="00A858D5">
        <w:rPr>
          <w:lang w:val="en-GB"/>
        </w:rPr>
        <w:t xml:space="preserve"> the most vulnerable</w:t>
      </w:r>
      <w:r w:rsidR="00FC50B9" w:rsidRPr="00A858D5">
        <w:rPr>
          <w:lang w:val="en-GB"/>
        </w:rPr>
        <w:t xml:space="preserve"> urban dwellers and</w:t>
      </w:r>
      <w:r w:rsidR="001C4B55" w:rsidRPr="00A858D5">
        <w:rPr>
          <w:lang w:val="en-GB"/>
        </w:rPr>
        <w:t xml:space="preserve"> counteract the beneficial effects on health of green spaces</w:t>
      </w:r>
      <w:r w:rsidR="00E01A24" w:rsidRPr="00A858D5">
        <w:rPr>
          <w:lang w:val="en-GB"/>
        </w:rPr>
        <w:t xml:space="preserve"> </w:t>
      </w:r>
      <w:r w:rsidR="00E01A24" w:rsidRPr="00A858D5">
        <w:rPr>
          <w:lang w:val="en-GB"/>
        </w:rPr>
        <w:fldChar w:fldCharType="begin" w:fldLock="1"/>
      </w:r>
      <w:r w:rsidR="00452D47">
        <w:rPr>
          <w:lang w:val="en-GB"/>
        </w:rPr>
        <w:instrText>ADDIN CSL_CITATION {"citationItems":[{"id":"ITEM-1","itemData":{"DOI":"10.1016/j.healthplace.2019.02.001","author":[{"dropping-particle":"","family":"Cole","given":"Helen V S","non-dropping-particle":"","parse-names":false,"suffix":""},{"dropping-particle":"","family":"Triguero-Mas","given":"Margarita","non-dropping-particle":"","parse-names":false,"suffix":""},{"dropping-particle":"","family":"Connolly","given":"James J T","non-dropping-particle":"","parse-names":false,"suffix":""},{"dropping-particle":"","family":"Anguelovski","given":"Isabelle","non-dropping-particle":"","parse-names":false,"suffix":""}],"container-title":"Health &amp; Place","id":"ITEM-1","issued":{"date-parts":[["2019"]]},"page":"1-11","title":"Determining the health benefits of green space : Does gentrification matter ?","type":"article-journal","volume":"57"},"uris":["http://www.mendeley.com/documents/?uuid=637b2e4f-df7c-4613-abdb-8862be38c5d1"]}],"mendeley":{"formattedCitation":"(Cole et al., 2019)","plainTextFormattedCitation":"(Cole et al., 2019)","previouslyFormattedCitation":"(Cole et al., 2019)"},"properties":{"noteIndex":0},"schema":"https://github.com/citation-style-language/schema/raw/master/csl-citation.json"}</w:instrText>
      </w:r>
      <w:r w:rsidR="00E01A24" w:rsidRPr="00A858D5">
        <w:rPr>
          <w:lang w:val="en-GB"/>
        </w:rPr>
        <w:fldChar w:fldCharType="separate"/>
      </w:r>
      <w:r w:rsidR="00E01A24" w:rsidRPr="00113E16">
        <w:rPr>
          <w:noProof/>
          <w:lang w:val="en-GB"/>
        </w:rPr>
        <w:t>(Cole et al., 2019)</w:t>
      </w:r>
      <w:r w:rsidR="00E01A24" w:rsidRPr="00A858D5">
        <w:rPr>
          <w:lang w:val="en-GB"/>
        </w:rPr>
        <w:fldChar w:fldCharType="end"/>
      </w:r>
      <w:r w:rsidR="00265A90" w:rsidRPr="00A858D5">
        <w:rPr>
          <w:lang w:val="en-GB"/>
        </w:rPr>
        <w:t>;</w:t>
      </w:r>
      <w:r w:rsidR="00BA3690" w:rsidRPr="00A858D5">
        <w:rPr>
          <w:lang w:val="en-GB"/>
        </w:rPr>
        <w:t xml:space="preserve"> </w:t>
      </w:r>
      <w:r w:rsidR="00265A90" w:rsidRPr="00A858D5">
        <w:rPr>
          <w:lang w:val="en-GB"/>
        </w:rPr>
        <w:t>therefore,</w:t>
      </w:r>
      <w:r w:rsidR="00BA3690" w:rsidRPr="00A858D5">
        <w:rPr>
          <w:lang w:val="en-GB"/>
        </w:rPr>
        <w:t xml:space="preserve"> these initiatives </w:t>
      </w:r>
      <w:r w:rsidR="00713DD3" w:rsidRPr="00A858D5">
        <w:rPr>
          <w:lang w:val="en-GB"/>
        </w:rPr>
        <w:t>need</w:t>
      </w:r>
      <w:r w:rsidR="00BA3690" w:rsidRPr="00A858D5">
        <w:rPr>
          <w:lang w:val="en-GB"/>
        </w:rPr>
        <w:t xml:space="preserve"> to </w:t>
      </w:r>
      <w:r w:rsidR="00F742F7" w:rsidRPr="00A858D5">
        <w:rPr>
          <w:lang w:val="en-GB"/>
        </w:rPr>
        <w:t xml:space="preserve">be </w:t>
      </w:r>
      <w:r w:rsidR="00B666AB" w:rsidRPr="00A858D5">
        <w:rPr>
          <w:lang w:val="en-GB"/>
        </w:rPr>
        <w:t xml:space="preserve">carefully </w:t>
      </w:r>
      <w:r w:rsidR="00F742F7" w:rsidRPr="00A858D5">
        <w:rPr>
          <w:lang w:val="en-GB"/>
        </w:rPr>
        <w:t>assessed and be accompanied</w:t>
      </w:r>
      <w:r w:rsidR="00672BDA" w:rsidRPr="00A858D5">
        <w:rPr>
          <w:lang w:val="en-GB"/>
        </w:rPr>
        <w:t xml:space="preserve"> </w:t>
      </w:r>
      <w:r w:rsidR="00F742F7" w:rsidRPr="00A858D5">
        <w:rPr>
          <w:lang w:val="en-GB"/>
        </w:rPr>
        <w:t xml:space="preserve">by </w:t>
      </w:r>
      <w:r w:rsidR="00672BDA" w:rsidRPr="00A858D5">
        <w:rPr>
          <w:lang w:val="en-GB"/>
        </w:rPr>
        <w:t xml:space="preserve">housing and social policies aiming at </w:t>
      </w:r>
      <w:r w:rsidR="00F20D12" w:rsidRPr="00A858D5">
        <w:rPr>
          <w:lang w:val="en-GB"/>
        </w:rPr>
        <w:t xml:space="preserve">combatting this </w:t>
      </w:r>
      <w:r w:rsidR="00EF3E86" w:rsidRPr="00A858D5">
        <w:rPr>
          <w:lang w:val="en-GB"/>
        </w:rPr>
        <w:t>undesirable</w:t>
      </w:r>
      <w:r w:rsidR="00F20D12" w:rsidRPr="00A858D5">
        <w:rPr>
          <w:lang w:val="en-GB"/>
        </w:rPr>
        <w:t xml:space="preserve"> phenomenon.</w:t>
      </w:r>
    </w:p>
    <w:p w14:paraId="76D99703" w14:textId="30F5CEA7" w:rsidR="00B9210C" w:rsidRPr="00EF3E86" w:rsidRDefault="00B9210C" w:rsidP="00A9511B"/>
    <w:p w14:paraId="048E1BAF" w14:textId="77777777" w:rsidR="00BF239B" w:rsidRPr="00CB442B" w:rsidRDefault="00BF239B" w:rsidP="00A9511B">
      <w:pPr>
        <w:rPr>
          <w:color w:val="FF0000"/>
          <w:lang w:val="en-GB"/>
        </w:rPr>
      </w:pPr>
    </w:p>
    <w:p w14:paraId="4B7929B5" w14:textId="35B973C6" w:rsidR="00985D55" w:rsidRDefault="00985D55" w:rsidP="00541047">
      <w:pPr>
        <w:spacing w:line="240" w:lineRule="auto"/>
      </w:pPr>
    </w:p>
    <w:p w14:paraId="2FABE9EE" w14:textId="77777777" w:rsidR="00D522D5" w:rsidRDefault="00D522D5" w:rsidP="00985D55">
      <w:pPr>
        <w:rPr>
          <w:b/>
          <w:bCs/>
        </w:rPr>
        <w:sectPr w:rsidR="00D522D5" w:rsidSect="0012127E">
          <w:pgSz w:w="11900" w:h="16840"/>
          <w:pgMar w:top="1440" w:right="1440" w:bottom="1440" w:left="1440" w:header="708" w:footer="708" w:gutter="0"/>
          <w:cols w:space="708"/>
          <w:docGrid w:linePitch="360"/>
        </w:sectPr>
      </w:pPr>
    </w:p>
    <w:p w14:paraId="20027D01" w14:textId="1F04C5F9" w:rsidR="004A0CA7" w:rsidRPr="00F91328" w:rsidRDefault="00985D55" w:rsidP="00985D55">
      <w:pPr>
        <w:rPr>
          <w:b/>
          <w:bCs/>
          <w:lang w:val="en-GB"/>
        </w:rPr>
      </w:pPr>
      <w:r w:rsidRPr="00F91328">
        <w:rPr>
          <w:b/>
          <w:bCs/>
          <w:lang w:val="en-GB"/>
        </w:rPr>
        <w:lastRenderedPageBreak/>
        <w:t>References</w:t>
      </w:r>
    </w:p>
    <w:p w14:paraId="06E8267D" w14:textId="10F5E0B2" w:rsidR="00EB5AA3" w:rsidRPr="00EB5AA3" w:rsidRDefault="00985D55" w:rsidP="00EB5AA3">
      <w:pPr>
        <w:widowControl w:val="0"/>
        <w:autoSpaceDE w:val="0"/>
        <w:autoSpaceDN w:val="0"/>
        <w:adjustRightInd w:val="0"/>
        <w:spacing w:after="120" w:line="240" w:lineRule="auto"/>
        <w:ind w:left="480" w:hanging="480"/>
        <w:rPr>
          <w:rFonts w:ascii="Calibri" w:hAnsi="Calibri" w:cs="Calibri"/>
          <w:noProof/>
          <w:lang w:val="en-GB"/>
        </w:rPr>
      </w:pPr>
      <w:r>
        <w:fldChar w:fldCharType="begin" w:fldLock="1"/>
      </w:r>
      <w:r w:rsidRPr="005F0754">
        <w:instrText xml:space="preserve">ADDIN Mendeley Bibliography CSL_BIBLIOGRAPHY </w:instrText>
      </w:r>
      <w:r>
        <w:fldChar w:fldCharType="separate"/>
      </w:r>
      <w:r w:rsidR="00EB5AA3" w:rsidRPr="00EB5AA3">
        <w:rPr>
          <w:rFonts w:ascii="Calibri" w:hAnsi="Calibri" w:cs="Calibri"/>
          <w:noProof/>
          <w:lang w:val="en-GB"/>
        </w:rPr>
        <w:t>Agyemang, C., van Hooijdonk, C., Wendel-Vos, W., Lindeman, E., Stronks, K., Droomers, M., 2007. The association of neighbourhood psychosocial stressors and self-rated health in Amsterdam, The Netherlands. J. Epidemiol. Community Heal. 61, 1042–1049. https://doi.org/10.1136/jech.2006.052548</w:t>
      </w:r>
    </w:p>
    <w:p w14:paraId="131949A0"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Astell-Burt, T., Feng, X., Kolt, G.S., 2014a. Greener neighborhoods, slimmer people ? Evidence from 246 920 Australians. Int. J. Obes. 38, 156–159. https://doi.org/10.1038/ijo.2013.64</w:t>
      </w:r>
    </w:p>
    <w:p w14:paraId="4C2A4C27"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Astell-Burt, T., Mitchell, R., Hartig, T., 2014b. The association between green space and mental health varies across the lifecourse . A longitudinal study. J. Epidemiol. Community Health 68, 578–583. https://doi.org/10.1136/jech-2013-203767</w:t>
      </w:r>
    </w:p>
    <w:p w14:paraId="0DB84385"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Bates, L.M., Hankivsky, O., Springer, K.W., 2009. Gender and health inequities : A comment on the Final Report of the WHO Commission on the Social Determinants of Health. Soc. Sci. Med. 69, 1002–1004. https://doi.org/10.1016/j.socscimed.2009.07.021</w:t>
      </w:r>
    </w:p>
    <w:p w14:paraId="71030680"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Bauer, G.R., 2014. Incorporating intersectionality theory into population health research methodology: Challenges and the potential to advance health equity. Soc. Sci. Med. 110, 10–17. https://doi.org/10.1016/j.socscimed.2014.03.022</w:t>
      </w:r>
    </w:p>
    <w:p w14:paraId="1C1D5DC1" w14:textId="70945113"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Bauer, G.R., Scheim, A.I., 2019. Methods for analytic intercategorical intersectionality in quantitative research: Discrimination as a mediator of health inequalities. Soc. Sci. Med. 226, 236–245. https://doi.org/10.1016/j.socscimed.2018.12.015</w:t>
      </w:r>
    </w:p>
    <w:p w14:paraId="2DA27554" w14:textId="1AD0E802"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Bauwelinck, M., Casas, L., Nawrot, T.S., Nemery, B., Trabelsi, S., Thomas, I., Aerts, R., Lefebvre, W., Vanpoucke, C., Van Nieuwenhuyse, A., Deboosere, P., Vandenheede, H., 2021. Residing in urban areas with higher green space is associated with lower mortality risk: A census-based cohort study with ten years of follow-up. Environ. Int. 148, 106365. https://</w:t>
      </w:r>
      <w:r w:rsidR="00921F33" w:rsidRPr="00EB5AA3">
        <w:rPr>
          <w:rFonts w:ascii="Calibri" w:hAnsi="Calibri" w:cs="Calibri"/>
          <w:noProof/>
          <w:lang w:val="en-GB"/>
        </w:rPr>
        <w:t xml:space="preserve"> </w:t>
      </w:r>
      <w:r w:rsidRPr="00EB5AA3">
        <w:rPr>
          <w:rFonts w:ascii="Calibri" w:hAnsi="Calibri" w:cs="Calibri"/>
          <w:noProof/>
          <w:lang w:val="en-GB"/>
        </w:rPr>
        <w:t>doi.org/10.1016/j.envint.2020.106365</w:t>
      </w:r>
    </w:p>
    <w:p w14:paraId="4C7BE48B"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Bauwelinck, M., Deboosere, P., Willaert, D., Vandenheede, H., 2016. Suicide mortality in Belgium at the beginning of the 21st century: differences according to migrant background. Eur. J. Public Health 27, 111–116. https://doi.org/10.1093/eurpub/ckw159</w:t>
      </w:r>
    </w:p>
    <w:p w14:paraId="47FB77D8" w14:textId="148BB5CD"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BISA (Brussels Institute of Statistics and Analysis), 2017. Mini-Bru 2017: The Brussels Capital Region in figures. Brussels, Belgium</w:t>
      </w:r>
      <w:r w:rsidR="00810EE3">
        <w:rPr>
          <w:rFonts w:ascii="Calibri" w:hAnsi="Calibri" w:cs="Calibri"/>
          <w:noProof/>
          <w:lang w:val="en-GB"/>
        </w:rPr>
        <w:t>: BISA</w:t>
      </w:r>
      <w:r w:rsidRPr="00EB5AA3">
        <w:rPr>
          <w:rFonts w:ascii="Calibri" w:hAnsi="Calibri" w:cs="Calibri"/>
          <w:noProof/>
          <w:lang w:val="en-GB"/>
        </w:rPr>
        <w:t>.</w:t>
      </w:r>
    </w:p>
    <w:p w14:paraId="15318106"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Bowleg, L., 2012. The Problem With the Phrase Women and Minorities : Intersectionality — an Important Theoretical Framework for Public Health. Am. J. Public Health 102, 1267–1273. https://doi.org/10.2105/AJPH.2012.300750</w:t>
      </w:r>
    </w:p>
    <w:p w14:paraId="272F77B5" w14:textId="21BA93E1" w:rsidR="00EB5AA3" w:rsidRPr="00B32B02" w:rsidRDefault="00EB5AA3" w:rsidP="00EB5AA3">
      <w:pPr>
        <w:widowControl w:val="0"/>
        <w:autoSpaceDE w:val="0"/>
        <w:autoSpaceDN w:val="0"/>
        <w:adjustRightInd w:val="0"/>
        <w:spacing w:after="120" w:line="240" w:lineRule="auto"/>
        <w:ind w:left="480" w:hanging="480"/>
        <w:rPr>
          <w:rFonts w:ascii="Calibri" w:hAnsi="Calibri" w:cs="Calibri"/>
          <w:noProof/>
          <w:lang w:val="fr-FR"/>
        </w:rPr>
      </w:pPr>
      <w:r w:rsidRPr="00EB5AA3">
        <w:rPr>
          <w:rFonts w:ascii="Calibri" w:hAnsi="Calibri" w:cs="Calibri"/>
          <w:noProof/>
          <w:lang w:val="en-GB"/>
        </w:rPr>
        <w:t xml:space="preserve">Brussels Environment, 2018. </w:t>
      </w:r>
      <w:r w:rsidRPr="00B32B02">
        <w:rPr>
          <w:rFonts w:ascii="Calibri" w:hAnsi="Calibri" w:cs="Calibri"/>
          <w:noProof/>
          <w:lang w:val="fr-FR"/>
        </w:rPr>
        <w:t>Quiet.Brussels: Plan de prévention et de lutte contre le bruit et les vibrations en milieu urbain (In English: Quiet.Brussels: Urban Noise and Vibration Prevention and Control Plan). Brussels, Belgium</w:t>
      </w:r>
      <w:r w:rsidR="00001915" w:rsidRPr="00B32B02">
        <w:rPr>
          <w:rFonts w:ascii="Calibri" w:hAnsi="Calibri" w:cs="Calibri"/>
          <w:noProof/>
          <w:lang w:val="fr-FR"/>
        </w:rPr>
        <w:t>: Brussels Environment</w:t>
      </w:r>
      <w:r w:rsidRPr="00B32B02">
        <w:rPr>
          <w:rFonts w:ascii="Calibri" w:hAnsi="Calibri" w:cs="Calibri"/>
          <w:noProof/>
          <w:lang w:val="fr-FR"/>
        </w:rPr>
        <w:t>.</w:t>
      </w:r>
    </w:p>
    <w:p w14:paraId="63101AE4" w14:textId="5565F44A"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B32B02">
        <w:rPr>
          <w:rFonts w:ascii="Calibri" w:hAnsi="Calibri" w:cs="Calibri"/>
          <w:noProof/>
          <w:lang w:val="fr-FR"/>
        </w:rPr>
        <w:t xml:space="preserve">Brussels Environment, 2012. Rapport Sur l’état de la Nature en Région de Bruxelles Capitale (In English: Report on the State of Nature in the Brussels Capital Region). </w:t>
      </w:r>
      <w:r w:rsidRPr="00EB5AA3">
        <w:rPr>
          <w:rFonts w:ascii="Calibri" w:hAnsi="Calibri" w:cs="Calibri"/>
          <w:noProof/>
          <w:lang w:val="en-GB"/>
        </w:rPr>
        <w:t>Brussels, Belgium</w:t>
      </w:r>
      <w:r w:rsidR="00001915">
        <w:rPr>
          <w:rFonts w:ascii="Calibri" w:hAnsi="Calibri" w:cs="Calibri"/>
          <w:noProof/>
          <w:lang w:val="en-GB"/>
        </w:rPr>
        <w:t>: Brussels Environment</w:t>
      </w:r>
      <w:r w:rsidRPr="00EB5AA3">
        <w:rPr>
          <w:rFonts w:ascii="Calibri" w:hAnsi="Calibri" w:cs="Calibri"/>
          <w:noProof/>
          <w:lang w:val="en-GB"/>
        </w:rPr>
        <w:t>.</w:t>
      </w:r>
    </w:p>
    <w:p w14:paraId="7BE4893F"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Cohen, D.A., Mckenzie, T.L., Sehgal, A., Williamson, S., Golinelli, D., Lurie, N., 2007. Contribution of Public Parks to Physical Activity. Am. J. Public Health 97, 509–514. https://doi.org/10.2105/AJPH.2005.072447</w:t>
      </w:r>
    </w:p>
    <w:p w14:paraId="09722FB9"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Cole, H.V.S., Triguero-Mas, M., Connolly, J.J.T., Anguelovski, I., 2019. Determining the health benefits of green space : Does gentrification matter ? Health Place 57, 1–11. https://doi.org/10.1016/j.healthplace.2019.02.001</w:t>
      </w:r>
    </w:p>
    <w:p w14:paraId="7C9D8D2B" w14:textId="77BEBF4F"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 xml:space="preserve">Crenshaw, K., 1989. Demarginalizing the Intersection of Race and Sex: A Black Feminist Critique of </w:t>
      </w:r>
      <w:r w:rsidRPr="00EB5AA3">
        <w:rPr>
          <w:rFonts w:ascii="Calibri" w:hAnsi="Calibri" w:cs="Calibri"/>
          <w:noProof/>
          <w:lang w:val="en-GB"/>
        </w:rPr>
        <w:lastRenderedPageBreak/>
        <w:t>Antidiscrimination Doctrine, Feminist Theory and Antiracist Politics. Univ</w:t>
      </w:r>
      <w:r w:rsidR="00EB5DA0">
        <w:rPr>
          <w:rFonts w:ascii="Calibri" w:hAnsi="Calibri" w:cs="Calibri"/>
          <w:noProof/>
          <w:lang w:val="en-GB"/>
        </w:rPr>
        <w:t>ersity of</w:t>
      </w:r>
      <w:r w:rsidRPr="00EB5AA3">
        <w:rPr>
          <w:rFonts w:ascii="Calibri" w:hAnsi="Calibri" w:cs="Calibri"/>
          <w:noProof/>
          <w:lang w:val="en-GB"/>
        </w:rPr>
        <w:t xml:space="preserve"> Chic</w:t>
      </w:r>
      <w:r w:rsidR="00EB5DA0">
        <w:rPr>
          <w:rFonts w:ascii="Calibri" w:hAnsi="Calibri" w:cs="Calibri"/>
          <w:noProof/>
          <w:lang w:val="en-GB"/>
        </w:rPr>
        <w:t>ago</w:t>
      </w:r>
      <w:r w:rsidRPr="00EB5AA3">
        <w:rPr>
          <w:rFonts w:ascii="Calibri" w:hAnsi="Calibri" w:cs="Calibri"/>
          <w:noProof/>
          <w:lang w:val="en-GB"/>
        </w:rPr>
        <w:t xml:space="preserve"> Leg</w:t>
      </w:r>
      <w:r w:rsidR="00EB5DA0">
        <w:rPr>
          <w:rFonts w:ascii="Calibri" w:hAnsi="Calibri" w:cs="Calibri"/>
          <w:noProof/>
          <w:lang w:val="en-GB"/>
        </w:rPr>
        <w:t>al</w:t>
      </w:r>
      <w:r w:rsidRPr="00EB5AA3">
        <w:rPr>
          <w:rFonts w:ascii="Calibri" w:hAnsi="Calibri" w:cs="Calibri"/>
          <w:noProof/>
          <w:lang w:val="en-GB"/>
        </w:rPr>
        <w:t xml:space="preserve"> Forum.</w:t>
      </w:r>
    </w:p>
    <w:p w14:paraId="433D96F8" w14:textId="410CCF31"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Crouse, D.L., Pinault, L., Balram, A., Hystad, P., Peters, P.A., Chen, H., Donkelaar, A. Van, Martin, R. V, Ménard, R., Robichaud, A., Villeneuve, P.J., 2017. Urban greenness and mortality in Canada’s largest cities : a national cohort study. Lancet Planet. Heal. 1, e289-97. https://doi.org/10.1016/S2542-5196(17)30118-3</w:t>
      </w:r>
    </w:p>
    <w:p w14:paraId="2CD574BF" w14:textId="77777777" w:rsidR="00EB5AA3" w:rsidRPr="00B32B02" w:rsidRDefault="00EB5AA3" w:rsidP="00EB5AA3">
      <w:pPr>
        <w:widowControl w:val="0"/>
        <w:autoSpaceDE w:val="0"/>
        <w:autoSpaceDN w:val="0"/>
        <w:adjustRightInd w:val="0"/>
        <w:spacing w:after="120" w:line="240" w:lineRule="auto"/>
        <w:ind w:left="480" w:hanging="480"/>
        <w:rPr>
          <w:rFonts w:ascii="Calibri" w:hAnsi="Calibri" w:cs="Calibri"/>
          <w:noProof/>
          <w:lang w:val="fr-FR"/>
        </w:rPr>
      </w:pPr>
      <w:r w:rsidRPr="00EB5AA3">
        <w:rPr>
          <w:rFonts w:ascii="Calibri" w:hAnsi="Calibri" w:cs="Calibri"/>
          <w:noProof/>
          <w:lang w:val="en-GB"/>
        </w:rPr>
        <w:t xml:space="preserve">Dadvand, P., Bartoll, X., Basagaña, X., Dalmau-Bueno, A., Martinez, D., Ambros, A., Cirach, M., Triguero-Mas, M., Gascon, M., Borrell, C., Nieuwenhuijsen, M.J., 2016. Green spaces and General Health : Roles of mental health status , social support , and physical activity. </w:t>
      </w:r>
      <w:r w:rsidRPr="00B32B02">
        <w:rPr>
          <w:rFonts w:ascii="Calibri" w:hAnsi="Calibri" w:cs="Calibri"/>
          <w:noProof/>
          <w:lang w:val="fr-FR"/>
        </w:rPr>
        <w:t>Environ. Int. 91, 161–167. https://doi.org/10.1016/j.envint.2016.02.029</w:t>
      </w:r>
    </w:p>
    <w:p w14:paraId="13EC9643"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B32B02">
        <w:rPr>
          <w:rFonts w:ascii="Calibri" w:hAnsi="Calibri" w:cs="Calibri"/>
          <w:noProof/>
          <w:lang w:val="fr-FR"/>
        </w:rPr>
        <w:t xml:space="preserve">Dadvand, P., de Nazelle, A., Figueras, F., Basagaña, X., Su, J., Amoly, E., Jerrett, M., Vrijheid, M., Sunyer, J., Nieuwenhuijsen, M.J., 2012a. </w:t>
      </w:r>
      <w:r w:rsidRPr="00EB5AA3">
        <w:rPr>
          <w:rFonts w:ascii="Calibri" w:hAnsi="Calibri" w:cs="Calibri"/>
          <w:noProof/>
          <w:lang w:val="en-GB"/>
        </w:rPr>
        <w:t>Green space, health inequality and pregnancy. Environ. Int. 40, 110–115. https://doi.org/10.1016/j.envint.2011.07.004</w:t>
      </w:r>
    </w:p>
    <w:p w14:paraId="764D37C4"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Dadvand, P., Sunyer, J., Basagaña, X., Ballester, F., Lertxundi, A., Fernández-Somoano, A., Estarlich, M., García-Esteban, R., Méndez, M.A., Nieuwenhuijsen, M.J., 2012b. Surrounding Greenness and Pregnancy Outcomes in Four Spanish Birth Cohorts. Environ. Health Perspect. 120, 1481–1487.</w:t>
      </w:r>
    </w:p>
    <w:p w14:paraId="0B615996"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Dadvand, P., Wright, J., Martinez, D., Basagaña, X., Mceachan, R.R.C., Cirach, M., Gidlow, C.J., Hoogh, K. De, Gra, R., Nieuwenhuijsen, M.J., 2014. Inequality, green spaces, and pregnant women: Roles of ethnicity and individual and neighbourhood socioeconomic status. Environ. Int. 71, 101–108. https://doi.org/10.1016/j.envint.2014.06.010</w:t>
      </w:r>
    </w:p>
    <w:p w14:paraId="30B67AE0"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de Vries, S., van Dillen, S.M.E., Groenewegen, P.P., Spreeuwenberg, P., 2013. Streetscape greenery and health: Stress, social cohesion and physical activity as mediators. Soc. Sci. Med. 94, 26–33. https://doi.org/https://doi.org/10.1016/j.socscimed.2013.06.030</w:t>
      </w:r>
    </w:p>
    <w:p w14:paraId="6394C3BB"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de Vries, S., Verheij, R.A., Groenewegen, P.P., Spreeuwenberg, P., 2003. Natural environments - healthy environments ? An exploratory analysis of the relationship between greenspace and health. Environ. Plan. A Econ. Sp. 35, 1717–1731. https://doi.org/10.1068/a35111</w:t>
      </w:r>
    </w:p>
    <w:p w14:paraId="5D25CD66" w14:textId="54F98D77" w:rsidR="00EB5AA3" w:rsidRPr="00087ED5" w:rsidRDefault="00EB5AA3" w:rsidP="0029353B">
      <w:pPr>
        <w:widowControl w:val="0"/>
        <w:autoSpaceDE w:val="0"/>
        <w:autoSpaceDN w:val="0"/>
        <w:adjustRightInd w:val="0"/>
        <w:spacing w:after="120" w:line="240" w:lineRule="auto"/>
        <w:ind w:left="480" w:hanging="480"/>
        <w:rPr>
          <w:rFonts w:ascii="Calibri" w:hAnsi="Calibri" w:cs="Calibri"/>
          <w:noProof/>
        </w:rPr>
      </w:pPr>
      <w:r w:rsidRPr="00EB5AA3">
        <w:rPr>
          <w:rFonts w:ascii="Calibri" w:hAnsi="Calibri" w:cs="Calibri"/>
          <w:noProof/>
          <w:lang w:val="en-GB"/>
        </w:rPr>
        <w:t>Deboosere, P., Eggerickx, T., Van Hecke, E., Wayens, B., 2009. The population of Brussels: a demographic overview</w:t>
      </w:r>
      <w:r w:rsidR="00E75262">
        <w:rPr>
          <w:rFonts w:ascii="Calibri" w:hAnsi="Calibri" w:cs="Calibri"/>
          <w:noProof/>
          <w:lang w:val="en-GB"/>
        </w:rPr>
        <w:t xml:space="preserve"> [</w:t>
      </w:r>
      <w:r w:rsidR="00741AE9">
        <w:rPr>
          <w:rFonts w:ascii="Calibri" w:hAnsi="Calibri" w:cs="Calibri"/>
          <w:noProof/>
          <w:lang w:val="en-GB"/>
        </w:rPr>
        <w:t>WWW Document</w:t>
      </w:r>
      <w:r w:rsidR="00E75262">
        <w:rPr>
          <w:rFonts w:ascii="Calibri" w:hAnsi="Calibri" w:cs="Calibri"/>
          <w:noProof/>
          <w:lang w:val="en-GB"/>
        </w:rPr>
        <w:t>]</w:t>
      </w:r>
      <w:r w:rsidRPr="00EB5AA3">
        <w:rPr>
          <w:rFonts w:ascii="Calibri" w:hAnsi="Calibri" w:cs="Calibri"/>
          <w:noProof/>
          <w:lang w:val="en-GB"/>
        </w:rPr>
        <w:t xml:space="preserve">. </w:t>
      </w:r>
      <w:r w:rsidRPr="00B32B02">
        <w:rPr>
          <w:rFonts w:ascii="Calibri" w:hAnsi="Calibri" w:cs="Calibri"/>
          <w:noProof/>
        </w:rPr>
        <w:t>Brussels Stud</w:t>
      </w:r>
      <w:r w:rsidR="00D67129" w:rsidRPr="00B32B02">
        <w:rPr>
          <w:rFonts w:ascii="Calibri" w:hAnsi="Calibri" w:cs="Calibri"/>
          <w:noProof/>
        </w:rPr>
        <w:t>ies</w:t>
      </w:r>
      <w:r w:rsidR="00747EE9" w:rsidRPr="00B32B02">
        <w:rPr>
          <w:rFonts w:ascii="Calibri" w:hAnsi="Calibri" w:cs="Calibri"/>
          <w:noProof/>
        </w:rPr>
        <w:t>, Synopses</w:t>
      </w:r>
      <w:r w:rsidRPr="00B32B02">
        <w:rPr>
          <w:rFonts w:ascii="Calibri" w:hAnsi="Calibri" w:cs="Calibri"/>
          <w:noProof/>
        </w:rPr>
        <w:t>.</w:t>
      </w:r>
      <w:r w:rsidR="0029353B" w:rsidRPr="00B32B02">
        <w:rPr>
          <w:rFonts w:ascii="Calibri" w:hAnsi="Calibri" w:cs="Calibri"/>
          <w:noProof/>
        </w:rPr>
        <w:t xml:space="preserve"> </w:t>
      </w:r>
      <w:r w:rsidR="0029353B" w:rsidRPr="00087ED5">
        <w:rPr>
          <w:rFonts w:ascii="Calibri" w:hAnsi="Calibri" w:cs="Calibri"/>
          <w:noProof/>
        </w:rPr>
        <w:t xml:space="preserve">Available at: </w:t>
      </w:r>
      <w:r w:rsidR="0029353B" w:rsidRPr="0029353B">
        <w:rPr>
          <w:rFonts w:ascii="Calibri" w:hAnsi="Calibri" w:cs="Calibri"/>
          <w:noProof/>
          <w:lang w:val="en-BE"/>
        </w:rPr>
        <w:t>http://journals.openedition.org/brussels/898</w:t>
      </w:r>
      <w:r w:rsidR="00087ED5">
        <w:rPr>
          <w:rFonts w:ascii="Calibri" w:hAnsi="Calibri" w:cs="Calibri"/>
          <w:noProof/>
        </w:rPr>
        <w:t xml:space="preserve"> </w:t>
      </w:r>
      <w:r w:rsidR="00741AE9">
        <w:rPr>
          <w:rFonts w:ascii="Calibri" w:hAnsi="Calibri" w:cs="Calibri"/>
          <w:noProof/>
        </w:rPr>
        <w:t>(a</w:t>
      </w:r>
      <w:r w:rsidR="0029353B" w:rsidRPr="00087ED5">
        <w:rPr>
          <w:rFonts w:ascii="Calibri" w:hAnsi="Calibri" w:cs="Calibri"/>
          <w:noProof/>
        </w:rPr>
        <w:t>ccessed</w:t>
      </w:r>
      <w:r w:rsidR="00087ED5" w:rsidRPr="00087ED5">
        <w:rPr>
          <w:rFonts w:ascii="Calibri" w:hAnsi="Calibri" w:cs="Calibri"/>
          <w:noProof/>
        </w:rPr>
        <w:t xml:space="preserve"> 7</w:t>
      </w:r>
      <w:r w:rsidR="00741AE9">
        <w:rPr>
          <w:rFonts w:ascii="Calibri" w:hAnsi="Calibri" w:cs="Calibri"/>
          <w:noProof/>
        </w:rPr>
        <w:t>.05.</w:t>
      </w:r>
      <w:r w:rsidR="00087ED5">
        <w:rPr>
          <w:rFonts w:ascii="Calibri" w:hAnsi="Calibri" w:cs="Calibri"/>
          <w:noProof/>
        </w:rPr>
        <w:t>2021</w:t>
      </w:r>
      <w:r w:rsidR="00741AE9">
        <w:rPr>
          <w:rFonts w:ascii="Calibri" w:hAnsi="Calibri" w:cs="Calibri"/>
          <w:noProof/>
        </w:rPr>
        <w:t>)</w:t>
      </w:r>
      <w:r w:rsidR="00087ED5">
        <w:rPr>
          <w:rFonts w:ascii="Calibri" w:hAnsi="Calibri" w:cs="Calibri"/>
          <w:noProof/>
        </w:rPr>
        <w:t>.</w:t>
      </w:r>
    </w:p>
    <w:p w14:paraId="0E45B48C"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087ED5">
        <w:rPr>
          <w:rFonts w:ascii="Calibri" w:hAnsi="Calibri" w:cs="Calibri"/>
          <w:noProof/>
        </w:rPr>
        <w:t xml:space="preserve">Eurostat, 2017. </w:t>
      </w:r>
      <w:r w:rsidRPr="00EB5AA3">
        <w:rPr>
          <w:rFonts w:ascii="Calibri" w:hAnsi="Calibri" w:cs="Calibri"/>
          <w:noProof/>
          <w:lang w:val="en-GB"/>
        </w:rPr>
        <w:t>Sustainable development in the European Union: Monitoring Report on Progress Towards the SDGs in an EU context. Publications Office of the European Union, Luxembourg.</w:t>
      </w:r>
    </w:p>
    <w:p w14:paraId="232C2751"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Evans, C.R., 2019a. Modeling the intersectionality of processes in the social production of health inequalities. Soc. Sci. Med. 226, 249–253. https://doi.org/https://doi.org/10.1016/j.socscimed.2019.01.017</w:t>
      </w:r>
    </w:p>
    <w:p w14:paraId="6FED1AB3"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Evans, C.R., 2019b. Reintegrating contexts into quantitative intersectional analyses of health inequalities. Health Place 60, 102214. https://doi.org/https://doi.org/10.1016/j.healthplace.2019.102214</w:t>
      </w:r>
    </w:p>
    <w:p w14:paraId="762641C8"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Evans, C.R., Williams, D.R., Onnela, J.-P., Subramanian, S. V, 2018. A multilevel approach to modeling health inequalities at the intersection of multiple social identities. Soc. Sci. Med. 203, 64–73. https://doi.org/https://doi.org/10.1016/j.socscimed.2017.11.011</w:t>
      </w:r>
    </w:p>
    <w:p w14:paraId="34B68021"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Galobardes, B., Shaw, M., Lawlor, D.A., Lynch, J.W., Smith, G.D., 2006. Indicators of socioeconomic position (part 1). J Epidemiol Community Heal. 60, 7–12. https://doi.org/10.1136/jech.2004.023531</w:t>
      </w:r>
    </w:p>
    <w:p w14:paraId="585E502C" w14:textId="77777777" w:rsidR="00EB5AA3" w:rsidRPr="00B32B02" w:rsidRDefault="00EB5AA3" w:rsidP="00EB5AA3">
      <w:pPr>
        <w:widowControl w:val="0"/>
        <w:autoSpaceDE w:val="0"/>
        <w:autoSpaceDN w:val="0"/>
        <w:adjustRightInd w:val="0"/>
        <w:spacing w:after="120" w:line="240" w:lineRule="auto"/>
        <w:ind w:left="480" w:hanging="480"/>
        <w:rPr>
          <w:rFonts w:ascii="Calibri" w:hAnsi="Calibri" w:cs="Calibri"/>
          <w:noProof/>
          <w:lang w:val="fr-FR"/>
        </w:rPr>
      </w:pPr>
      <w:r w:rsidRPr="00EB5AA3">
        <w:rPr>
          <w:rFonts w:ascii="Calibri" w:hAnsi="Calibri" w:cs="Calibri"/>
          <w:noProof/>
          <w:lang w:val="en-GB"/>
        </w:rPr>
        <w:t xml:space="preserve">Gascon, M., Triguero-Mas, M., Martínez, D., Dadvand, P., 2016. Residential green spaces and mortality : A systematic review. </w:t>
      </w:r>
      <w:r w:rsidRPr="00B32B02">
        <w:rPr>
          <w:rFonts w:ascii="Calibri" w:hAnsi="Calibri" w:cs="Calibri"/>
          <w:noProof/>
          <w:lang w:val="fr-FR"/>
        </w:rPr>
        <w:t xml:space="preserve">Environ. Int. 86, 60–67. </w:t>
      </w:r>
      <w:r w:rsidRPr="00B32B02">
        <w:rPr>
          <w:rFonts w:ascii="Calibri" w:hAnsi="Calibri" w:cs="Calibri"/>
          <w:noProof/>
          <w:lang w:val="fr-FR"/>
        </w:rPr>
        <w:lastRenderedPageBreak/>
        <w:t>https://doi.org/10.1016/j.envint.2015.10.013</w:t>
      </w:r>
    </w:p>
    <w:p w14:paraId="35368E30"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B32B02">
        <w:rPr>
          <w:rFonts w:ascii="Calibri" w:hAnsi="Calibri" w:cs="Calibri"/>
          <w:noProof/>
          <w:lang w:val="fr-FR"/>
        </w:rPr>
        <w:t xml:space="preserve">Gascon, M., Triguero-Mas, M., Martínez, D., Dadvand, P., 2015. </w:t>
      </w:r>
      <w:r w:rsidRPr="00EB5AA3">
        <w:rPr>
          <w:rFonts w:ascii="Calibri" w:hAnsi="Calibri" w:cs="Calibri"/>
          <w:noProof/>
          <w:lang w:val="en-GB"/>
        </w:rPr>
        <w:t>Mental Health Benefits of Long-Term Exposure to Residential Green and Blue Spaces : A Systematic Review. Int. J. Environ. Res. Public Health 12, 4354–4379. https://doi.org/10.3390/ijerph120404354</w:t>
      </w:r>
    </w:p>
    <w:p w14:paraId="08F997FD"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Gidlow, C., Johnston, L.H., Crone, D., Ellis, N., James, D., 2006. A systematic review of the relationship between socio-economic position and physical activity. Health Educ. J. 65, 338–367. https://doi.org/10.1177/0017896906069378</w:t>
      </w:r>
    </w:p>
    <w:p w14:paraId="6A488280"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Green, M.A., Evans, C.R., Subramanian, S. V, 2017. Can intersectionality theory enrich population health research? Soc. Sci. Med. 178, 214–216. https://doi.org/https://doi.org/10.1016/j.socscimed.2017.02.029</w:t>
      </w:r>
    </w:p>
    <w:p w14:paraId="7AC34E2D"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Hooyberghs, J., Mensink, C., Dumont, G., Fierens, F., 2006. Spatial interpolation of ambient ozone concentrations from sparse monitoring points in Belgium. J. Environ. Monit. 8, 1129—1135. https://doi.org/10.1039/b612607n</w:t>
      </w:r>
    </w:p>
    <w:p w14:paraId="319B00D8" w14:textId="72A066DB"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Hughey, S.M., Kaczynski, A.T., Child, S., Moore, J.B., Porter, D., Hibbert, J., 2017. Green and lean: Is neighborhood park and playground availability associated with youth obesity? Variations by gender, socioeconomic status, and race/ethnicity. Prev. Med. 95, S101–S108. https://doi.org/10.1016/j.ypmed.2016.11.024</w:t>
      </w:r>
    </w:p>
    <w:p w14:paraId="227C38E9"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Imai, K., Keele, L., Tingley, D., 2010. A General Approach to Causal Mediation Analysis. Psychol Methods 15, 309–334. https://doi.org/10.1037/a0020761</w:t>
      </w:r>
    </w:p>
    <w:p w14:paraId="129FFF57" w14:textId="020E78C2"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IOM (International Organization for Migration), 2015. World Migration Report 2015. Geneva</w:t>
      </w:r>
      <w:r w:rsidR="00B5594C">
        <w:rPr>
          <w:rFonts w:ascii="Calibri" w:hAnsi="Calibri" w:cs="Calibri"/>
          <w:noProof/>
          <w:lang w:val="en-GB"/>
        </w:rPr>
        <w:t>: IOM</w:t>
      </w:r>
      <w:r w:rsidRPr="00EB5AA3">
        <w:rPr>
          <w:rFonts w:ascii="Calibri" w:hAnsi="Calibri" w:cs="Calibri"/>
          <w:noProof/>
          <w:lang w:val="en-GB"/>
        </w:rPr>
        <w:t>.</w:t>
      </w:r>
    </w:p>
    <w:p w14:paraId="1F136507"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James, P., Banay, R.F., Hart, J.E., Laden, F., 2015. A Review of the Health Benefits of Greenness. Curr. Epidemiol. Reports 2, 131–142. https://doi.org/10.1007/s40471-015-0043-7</w:t>
      </w:r>
    </w:p>
    <w:p w14:paraId="46178EC4"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James, P., Hart, J.E., Banay, R.F., Laden, F., 2016. Exposure to Greenness and Mortality in a Nationwide Prospective Cohort Study of Women. Environ. Health Perspect. 124, 1344–1352.</w:t>
      </w:r>
    </w:p>
    <w:p w14:paraId="10CCCB26"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Jylhä, M., 2009. What is self-rated health and why does it predict mortality? Towards a unified conceptual model. Soc. Sci. Med. 69, 307–316. https://doi.org/10.1016/j.socscimed.2009.05.013</w:t>
      </w:r>
    </w:p>
    <w:p w14:paraId="1B9A3165"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Kapilashrami, A., Hill, S., Meer, N., 2015. What can health inequalities researchers learn from an intersectionality perspective? Understanding social dynamics with an inter-categorical approach? Soc. Theory Heal. 13, 288–307. https://doi.org/10.1057/sth.2015.16</w:t>
      </w:r>
    </w:p>
    <w:p w14:paraId="0565B933" w14:textId="77777777" w:rsidR="00EB5AA3" w:rsidRPr="00B32B02" w:rsidRDefault="00EB5AA3" w:rsidP="00EB5AA3">
      <w:pPr>
        <w:widowControl w:val="0"/>
        <w:autoSpaceDE w:val="0"/>
        <w:autoSpaceDN w:val="0"/>
        <w:adjustRightInd w:val="0"/>
        <w:spacing w:after="120" w:line="240" w:lineRule="auto"/>
        <w:ind w:left="480" w:hanging="480"/>
        <w:rPr>
          <w:rFonts w:ascii="Calibri" w:hAnsi="Calibri" w:cs="Calibri"/>
          <w:noProof/>
          <w:lang w:val="fr-FR"/>
        </w:rPr>
      </w:pPr>
      <w:r w:rsidRPr="00EB5AA3">
        <w:rPr>
          <w:rFonts w:ascii="Calibri" w:hAnsi="Calibri" w:cs="Calibri"/>
          <w:noProof/>
          <w:lang w:val="en-GB"/>
        </w:rPr>
        <w:t xml:space="preserve">Klompmaker, J.O., Janssen, N.A.H., Bloemsma, L.D., Gehring, U., Wijga, A.H., van den Brink, C., Lebret, E., Brunekreef, B., Hoek, G., 2019. Residential surrounding green, air pollution, traffic noise and self-perceived general health. </w:t>
      </w:r>
      <w:r w:rsidRPr="00B32B02">
        <w:rPr>
          <w:rFonts w:ascii="Calibri" w:hAnsi="Calibri" w:cs="Calibri"/>
          <w:noProof/>
          <w:lang w:val="fr-FR"/>
        </w:rPr>
        <w:t>Environ. Res. 179, 108751. https://doi.org/https://doi.org/10.1016/j.envres.2019.108751</w:t>
      </w:r>
    </w:p>
    <w:p w14:paraId="2A7E9446"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Krieger, N., 2001. A glossary for social epidemiology. J. Epidemiol. Community Health 55, 693–700.</w:t>
      </w:r>
    </w:p>
    <w:p w14:paraId="550B047D" w14:textId="3A349573"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Lefebvre, W., Vranckx, S., 2013. Validation of the IFDM-model for use in urban applications: study accomplished in the framework of the ATMOSYS-project</w:t>
      </w:r>
      <w:r w:rsidR="00DE38F7">
        <w:rPr>
          <w:rFonts w:ascii="Calibri" w:hAnsi="Calibri" w:cs="Calibri"/>
          <w:noProof/>
          <w:lang w:val="en-GB"/>
        </w:rPr>
        <w:t xml:space="preserve">. </w:t>
      </w:r>
      <w:r w:rsidR="00E07673">
        <w:rPr>
          <w:rFonts w:ascii="Calibri" w:hAnsi="Calibri" w:cs="Calibri"/>
          <w:noProof/>
          <w:lang w:val="en-GB"/>
        </w:rPr>
        <w:t>2013/RMA/R/56</w:t>
      </w:r>
      <w:r w:rsidRPr="00EB5AA3">
        <w:rPr>
          <w:rFonts w:ascii="Calibri" w:hAnsi="Calibri" w:cs="Calibri"/>
          <w:noProof/>
          <w:lang w:val="en-GB"/>
        </w:rPr>
        <w:t>. Mol, Belgium.</w:t>
      </w:r>
    </w:p>
    <w:p w14:paraId="22B81F0E"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LeVasseur, M.T., Kelvin, E.A., Grosskopf, N.A., 2013. Intersecting Identities and the Association Between Bullying and Suicide Attempt Among New York City Youths: Results From the 2009 New York City Youth Risk Behavior Survey. Am. J. Public Health 103, 1082–1089. https://doi.org/10.2105/AJPH.2012.300994</w:t>
      </w:r>
    </w:p>
    <w:p w14:paraId="0C8C284B"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Maas, J., Verheij, R.A., Groenewegen, P.P., De Vries, S., Spreeuwenberg, P., 2006. Green space, urbanity, and health: how strong is the relation ? J. Epidemiol. Community Health 60, 587–592. https://doi.org/10.1136/jech.2005.043125</w:t>
      </w:r>
    </w:p>
    <w:p w14:paraId="77F26E4E"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lastRenderedPageBreak/>
        <w:t>Maas, J., Verheij, R.A., Vries, S. De, Spreeuwenberg, P., Schellevis, F.G., Groenewegen, P.P., 2009. Morbidity is related to a green living environment. J. Epidemiol. Community Heal. 63, 967–973. https://doi.org/10.1136/jech.2008.079038</w:t>
      </w:r>
    </w:p>
    <w:p w14:paraId="2A7E94DB" w14:textId="3E7206BA"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Marmot, M., Allen, J., Boyce, T., Goldblatt, P., Morrison, J., 2020. Health equity in England: the Marmot review 10 years on. London</w:t>
      </w:r>
      <w:r w:rsidR="009B28F6">
        <w:rPr>
          <w:rFonts w:ascii="Calibri" w:hAnsi="Calibri" w:cs="Calibri"/>
          <w:noProof/>
          <w:lang w:val="en-GB"/>
        </w:rPr>
        <w:t>: Institute of Health Equity</w:t>
      </w:r>
      <w:r w:rsidRPr="00EB5AA3">
        <w:rPr>
          <w:rFonts w:ascii="Calibri" w:hAnsi="Calibri" w:cs="Calibri"/>
          <w:noProof/>
          <w:lang w:val="en-GB"/>
        </w:rPr>
        <w:t>.</w:t>
      </w:r>
    </w:p>
    <w:p w14:paraId="55216C66" w14:textId="78968B79"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McCall, L., 2005. The complexity of intersectionality. Sign</w:t>
      </w:r>
      <w:r w:rsidR="00C31E37">
        <w:rPr>
          <w:rFonts w:ascii="Calibri" w:hAnsi="Calibri" w:cs="Calibri"/>
          <w:noProof/>
          <w:lang w:val="en-GB"/>
        </w:rPr>
        <w:t>s</w:t>
      </w:r>
      <w:r w:rsidRPr="00EB5AA3">
        <w:rPr>
          <w:rFonts w:ascii="Calibri" w:hAnsi="Calibri" w:cs="Calibri"/>
          <w:noProof/>
          <w:lang w:val="en-GB"/>
        </w:rPr>
        <w:t>. 30</w:t>
      </w:r>
      <w:r w:rsidR="00C31E37">
        <w:rPr>
          <w:rFonts w:ascii="Calibri" w:hAnsi="Calibri" w:cs="Calibri"/>
          <w:noProof/>
          <w:lang w:val="en-GB"/>
        </w:rPr>
        <w:t>(3)</w:t>
      </w:r>
      <w:r w:rsidRPr="00EB5AA3">
        <w:rPr>
          <w:rFonts w:ascii="Calibri" w:hAnsi="Calibri" w:cs="Calibri"/>
          <w:noProof/>
          <w:lang w:val="en-GB"/>
        </w:rPr>
        <w:t>, 1771–1800.</w:t>
      </w:r>
    </w:p>
    <w:p w14:paraId="7E4872E5"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McEachan, R.R.C., Prady, S.L., Smith, G., Fairley, L., Cabieses, B., Gidlow, C., Wright, J., Dadvand, P., Gent, D. Van, Nieuwenhuijsen, M.J., Royal, B., 2016. The association between green space and depressive symptoms in pregnant women : moderating roles of socioeconomic status and physical activity. J. Epidemiol. Community Heal. 70, 253–259. https://doi.org/10.1136/jech-2015-205954</w:t>
      </w:r>
    </w:p>
    <w:p w14:paraId="3C6CC655"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McEachan, R.R.C., Yang, T.C., Roberts, H., Pickett, K.E., Arseneau-powell, D., Gidlow, C.J., Wright, J., 2018. Availability, use of, and satisfaction with green space, and children’s mental wellbeing at age 4 years in a multicultural, deprived, urban area: results from the Born in Bradford cohort study. Lancet Planet. Heal. 2, e244–e254. https://doi.org/10.1016/S2542-5196(18)30119-0</w:t>
      </w:r>
    </w:p>
    <w:p w14:paraId="3401908F"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Merlo, J., Mulinari, S., Wemrell, M., Subramanian, S. V, Hedblad, B., 2017. The tyranny of the averages and the indiscriminate use of risk factors in public health: The case of coronary heart disease. SSM - Popul. Heal. 3, 684–698. https://doi.org/https://doi.org/10.1016/j.ssmph.2017.08.005</w:t>
      </w:r>
    </w:p>
    <w:p w14:paraId="3B138415"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Mitchell, R., Popham, F., 2008. Effect of exposure to natural environment on health inequalities : an observational population study. Lancet 372, 1655–1660. https://doi.org/10.1016/S0140-6736(08)61689-X</w:t>
      </w:r>
    </w:p>
    <w:p w14:paraId="76BEF410"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Nieuwenhuijsen, M.J., Khreis, H., Triguero-Mas, M., Gascon, M., Dadvand, P., 2017. Fifty Shades of Green. Pathway to Healthy Urban Living. Epidemiology 28, 63–71. https://doi.org/10.1097/EDE.0000000000000549</w:t>
      </w:r>
    </w:p>
    <w:p w14:paraId="16A6133C" w14:textId="77777777" w:rsidR="00EB5AA3" w:rsidRPr="00B32B02" w:rsidRDefault="00EB5AA3" w:rsidP="00EB5AA3">
      <w:pPr>
        <w:widowControl w:val="0"/>
        <w:autoSpaceDE w:val="0"/>
        <w:autoSpaceDN w:val="0"/>
        <w:adjustRightInd w:val="0"/>
        <w:spacing w:after="120" w:line="240" w:lineRule="auto"/>
        <w:ind w:left="480" w:hanging="480"/>
        <w:rPr>
          <w:rFonts w:ascii="Calibri" w:hAnsi="Calibri" w:cs="Calibri"/>
          <w:noProof/>
          <w:lang w:val="fr-FR"/>
        </w:rPr>
      </w:pPr>
      <w:r w:rsidRPr="00EB5AA3">
        <w:rPr>
          <w:rFonts w:ascii="Calibri" w:hAnsi="Calibri" w:cs="Calibri"/>
          <w:noProof/>
          <w:lang w:val="en-GB"/>
        </w:rPr>
        <w:t xml:space="preserve">Orban, E., Sutcliffe, R., Dragano, N., 2017. Residential Surrounding Greenness , Self-Rated Health and Interrelations with Aspects of Neighborhood Environment and Social Relations. </w:t>
      </w:r>
      <w:r w:rsidRPr="00B32B02">
        <w:rPr>
          <w:rFonts w:ascii="Calibri" w:hAnsi="Calibri" w:cs="Calibri"/>
          <w:noProof/>
          <w:lang w:val="fr-FR"/>
        </w:rPr>
        <w:t>J. Urban Heal. 94, 158–169. https://doi.org/10.1007/s11524-016-0112-3</w:t>
      </w:r>
    </w:p>
    <w:p w14:paraId="7C3C9D5D"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B32B02">
        <w:rPr>
          <w:rFonts w:ascii="Calibri" w:hAnsi="Calibri" w:cs="Calibri"/>
          <w:noProof/>
          <w:lang w:val="fr-FR"/>
        </w:rPr>
        <w:t xml:space="preserve">Orioli, R., Antonucci, C., Scortichini, M., Cerza, F., Marando, F., Ancona, C., Manes, F., Davoli, M., Michelozzi, P., Forastiere, F., Cesaroni, G., 2019. </w:t>
      </w:r>
      <w:r w:rsidRPr="00EB5AA3">
        <w:rPr>
          <w:rFonts w:ascii="Calibri" w:hAnsi="Calibri" w:cs="Calibri"/>
          <w:noProof/>
          <w:lang w:val="en-GB"/>
        </w:rPr>
        <w:t>Exposure to Residential Greenness as a Predictor of Cause-Specific Mortality and Stroke Incidence in the Rome Longitudinal Study. Environ. Health Perspect. 127, 1–11.</w:t>
      </w:r>
    </w:p>
    <w:p w14:paraId="3C6DFE4F"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Reklaitiene, R., Grazuleviciene, R., Dedele, A., Virviciute, D., Vensloviene, J., Tamosiunas, A., Luksiene, D., Sapranaviciute-zabazlajeva, L., Radisauskas, R., Bernotiene, G., Bobak, M., Mark, J., Publica, S., 2014. The relationship of green space, depressive symptoms and perceived general health in urban population. Scand. J. Public Health 42, 669–676. https://doi.org/10.1177/1403494814544494</w:t>
      </w:r>
    </w:p>
    <w:p w14:paraId="62C1EA8C"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Richardson, E.A., Mitchell, R., 2010. Gender differences in relationships between urban green space and health in the United Kingdom. Soc. Sci. Med. 71, 568–575. https://doi.org/10.1016/j.socscimed.2010.04.015</w:t>
      </w:r>
    </w:p>
    <w:p w14:paraId="444FF27F" w14:textId="77777777" w:rsidR="00EB5AA3" w:rsidRPr="00B32B02" w:rsidRDefault="00EB5AA3" w:rsidP="00EB5AA3">
      <w:pPr>
        <w:widowControl w:val="0"/>
        <w:autoSpaceDE w:val="0"/>
        <w:autoSpaceDN w:val="0"/>
        <w:adjustRightInd w:val="0"/>
        <w:spacing w:after="120" w:line="240" w:lineRule="auto"/>
        <w:ind w:left="480" w:hanging="480"/>
        <w:rPr>
          <w:rFonts w:ascii="Calibri" w:hAnsi="Calibri" w:cs="Calibri"/>
          <w:noProof/>
          <w:lang w:val="fr-FR"/>
        </w:rPr>
      </w:pPr>
      <w:r w:rsidRPr="00EB5AA3">
        <w:rPr>
          <w:rFonts w:ascii="Calibri" w:hAnsi="Calibri" w:cs="Calibri"/>
          <w:noProof/>
          <w:lang w:val="en-GB"/>
        </w:rPr>
        <w:t xml:space="preserve">Rigolon, A., 2016. A complex landscape of inequity in access to urban parks : A literature review. </w:t>
      </w:r>
      <w:r w:rsidRPr="00B32B02">
        <w:rPr>
          <w:rFonts w:ascii="Calibri" w:hAnsi="Calibri" w:cs="Calibri"/>
          <w:noProof/>
          <w:lang w:val="fr-FR"/>
        </w:rPr>
        <w:t>Landsc. Urban Plan. 153, 160–169. https://doi.org/10.1016/j.landurbplan.2016.05.017</w:t>
      </w:r>
    </w:p>
    <w:p w14:paraId="4A16D2B8"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B32B02">
        <w:rPr>
          <w:rFonts w:ascii="Calibri" w:hAnsi="Calibri" w:cs="Calibri"/>
          <w:noProof/>
          <w:lang w:val="fr-FR"/>
        </w:rPr>
        <w:t xml:space="preserve">Rojas-Rueda, D., Nieuwenhuijsen, M.J., Gascon, M., Perez-Leon, D., Mudu, P., 2019. </w:t>
      </w:r>
      <w:r w:rsidRPr="00EB5AA3">
        <w:rPr>
          <w:rFonts w:ascii="Calibri" w:hAnsi="Calibri" w:cs="Calibri"/>
          <w:noProof/>
          <w:lang w:val="en-GB"/>
        </w:rPr>
        <w:t>Green spaces and mortality : a systematic review and meta-analysis of cohort studies. Lancet Planet. Heal. 3, e469–e477. https://doi.org/10.1016/S2542-5196(19)30215-3</w:t>
      </w:r>
    </w:p>
    <w:p w14:paraId="689EBBDA" w14:textId="1B466824"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Science for Environment Policy, 2016. Links between noise and air pollution and socioeconomic status.</w:t>
      </w:r>
      <w:r w:rsidR="002807E8">
        <w:rPr>
          <w:rFonts w:ascii="Calibri" w:hAnsi="Calibri" w:cs="Calibri"/>
          <w:noProof/>
          <w:lang w:val="en-GB"/>
        </w:rPr>
        <w:t xml:space="preserve"> </w:t>
      </w:r>
      <w:r w:rsidR="002807E8">
        <w:rPr>
          <w:rFonts w:ascii="Calibri" w:hAnsi="Calibri" w:cs="Calibri"/>
          <w:noProof/>
          <w:lang w:val="en-GB"/>
        </w:rPr>
        <w:lastRenderedPageBreak/>
        <w:t xml:space="preserve">In-depth Report </w:t>
      </w:r>
      <w:r w:rsidR="00B0086C">
        <w:rPr>
          <w:rFonts w:ascii="Calibri" w:hAnsi="Calibri" w:cs="Calibri"/>
          <w:noProof/>
          <w:lang w:val="en-GB"/>
        </w:rPr>
        <w:t>13 produced for the European Commission, DG Environment by the Science Communication Unit. UWE,</w:t>
      </w:r>
      <w:r w:rsidRPr="00EB5AA3">
        <w:rPr>
          <w:rFonts w:ascii="Calibri" w:hAnsi="Calibri" w:cs="Calibri"/>
          <w:noProof/>
          <w:lang w:val="en-GB"/>
        </w:rPr>
        <w:t xml:space="preserve"> Bristol. https://doi.org/10.2779/200217</w:t>
      </w:r>
    </w:p>
    <w:p w14:paraId="2C998053"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Scott, N.A., Siltanen, J., 2017. Intersectionality and quantitative methods: assessing regression from a feminist perspective. Int. J. Soc. Res. Methodol. 20, 373–385. https://doi.org/10.1080/13645579.2016.1201328</w:t>
      </w:r>
    </w:p>
    <w:p w14:paraId="17DCB9BC"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Stafford, M., Cummins, S., Macintyre, S., Ellaway, A., Marmot, M., 2005. Gender differences in the associations between health and neighbourhood environment. Soc. Sci. Med. 60, 1681–1692. https://doi.org/10.1016/j.socscimed.2004.08.028</w:t>
      </w:r>
    </w:p>
    <w:p w14:paraId="09CE2303"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Sugiyama, T., Leslie, E., Owen, N., 2008. Associations of neighbourhood greenness with physical and mental health : do walking , social coherence and local social interaction explain the relationships ? J Epidemiol Community Heal. 62, e9. https://doi.org/10.1136/jech.2007.064287</w:t>
      </w:r>
    </w:p>
    <w:p w14:paraId="4421E908"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Sugiyama, T., Villanueva, K., Knuiman, M., Francis, J., Foster, S., Wood, L., Giles-corti, B., 2016. Can neighborhood green space mitigate health inequalities ? A study of socio-economic status and mental health. Health Place 38, 16–21. https://doi.org/10.1016/j.healthplace.2016.01.002</w:t>
      </w:r>
    </w:p>
    <w:p w14:paraId="63F5A18F"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Triguero-Mas, M., Dadvand, P., Cirach, M., Martínez, D., Medina, A., Mompart, A., Basagaña, X., Gražulevičienė, R., Nieuwenhuijsen, M.J., 2015. Natural outdoor environments and mental and physical health : Relationships and mechanisms. Environ. Int. 77, 35–41. https://doi.org/10.1016/j.envint.2015.01.012</w:t>
      </w:r>
    </w:p>
    <w:p w14:paraId="6143D9FE"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UNESCO Institute for Statistics (UIS), 2012. International Standard Classification of Education. ISCED 2011. Montreal, Canada.</w:t>
      </w:r>
    </w:p>
    <w:p w14:paraId="030EC676"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Van de Voorde, T., 2016. Spatially explicit urban green indicators for characterizing vegetation cover and public green space proximity : a case study on Brussels , Belgium. Int. J. Digit. Earth 0, 1–16. https://doi.org/10.1080/17538947.2016.1252434</w:t>
      </w:r>
    </w:p>
    <w:p w14:paraId="68E04088" w14:textId="48B3FE71"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Van de Voorde, T., Canters, F., Chan, J.C., 2010. Mapping update and analysis of the evolution of non- built (green) spaces in the Brussels Capital Region.</w:t>
      </w:r>
      <w:r w:rsidR="00901C4D">
        <w:rPr>
          <w:rFonts w:ascii="Calibri" w:hAnsi="Calibri" w:cs="Calibri"/>
          <w:noProof/>
          <w:lang w:val="en-GB"/>
        </w:rPr>
        <w:t xml:space="preserve"> ActuaEvol/09 Final Report.</w:t>
      </w:r>
      <w:r w:rsidRPr="00EB5AA3">
        <w:rPr>
          <w:rFonts w:ascii="Calibri" w:hAnsi="Calibri" w:cs="Calibri"/>
          <w:noProof/>
          <w:lang w:val="en-GB"/>
        </w:rPr>
        <w:t xml:space="preserve"> Brussels.</w:t>
      </w:r>
    </w:p>
    <w:p w14:paraId="7E188CED"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Van Den Berg, M., Wendel-Vos, W., Van Poppel, M., Kemper, H., Van Mechelen, W., Maas, J., 2015. Health benefits of green spaces in the living environment : A systematic review of epidemiological studies. Urban For. Urban Green. 14, 806–816. https://doi.org/10.1016/j.ufug.2015.07.008</w:t>
      </w:r>
    </w:p>
    <w:p w14:paraId="0EE36A0B"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Van Dillen, S.M.E., De Vries, S., Groenewegen, P.P., Spreeuwenberg, P., 2012. Greenspace in urban neighbourhoods and residents’ health : adding quality to quantity. J Epidemiol Community Heal. 66, 1–5. https://doi.org/10.1136/jech.2009.104695</w:t>
      </w:r>
    </w:p>
    <w:p w14:paraId="4567EAE8"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Van Hamme, G., Grippa, T., Van Criekingen, M., 2016. Migratory movements and dynamics of neighbourhoods in Brussels. Brussels Stud. https://doi.org/10.4000/brussels.1338</w:t>
      </w:r>
    </w:p>
    <w:p w14:paraId="3EABA7FD"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Vienneau, D., Hoogh, K. De, Faeh, D., Kaufmann, M., Marc, J., Röösli, M., Snc, T., Group, S., 2017. More than clean air and tranquillity : Residential green is independently associated with decreasing mortality. Environ. Int. 108, 176–184. https://doi.org/10.1016/j.envint.2017.08.012</w:t>
      </w:r>
    </w:p>
    <w:p w14:paraId="5A58695A"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Villeneuve, P.J., Jerrett, M., Su, J.G., Burnett, R.T., Chen, H., Wheeler, A.J., Goldberg, M.S., 2012. A cohort study relating urban green space with mortality in Ontario, Canada. Environ. Res. 115, 51–58. https://doi.org/10.1016/j.envres.2012.03.003</w:t>
      </w:r>
    </w:p>
    <w:p w14:paraId="0CCE96BD"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Weier, J., Herring, D., 2000. Measuring Vegetation (NDVI &amp; EVI) [WWW Document]. URL https://earthobservatory.nasa.gov/features/MeasuringVegetation (accessed 7.4.19).</w:t>
      </w:r>
    </w:p>
    <w:p w14:paraId="6C79797E"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lang w:val="en-GB"/>
        </w:rPr>
      </w:pPr>
      <w:r w:rsidRPr="00EB5AA3">
        <w:rPr>
          <w:rFonts w:ascii="Calibri" w:hAnsi="Calibri" w:cs="Calibri"/>
          <w:noProof/>
          <w:lang w:val="en-GB"/>
        </w:rPr>
        <w:t>Wemrell, M., Mulinari, S., Merlo, J., 2017. Intersectionality and risk for ischemic heart disease in Sweden: Categorical and anti-categorical approaches. Soc. Sci. Med. 177, 213–222. https://doi.org/https://doi.org/10.1016/j.socscimed.2017.01.050</w:t>
      </w:r>
    </w:p>
    <w:p w14:paraId="0B36D6C1" w14:textId="77777777" w:rsidR="00EB5AA3" w:rsidRPr="00EB5AA3" w:rsidRDefault="00EB5AA3" w:rsidP="00EB5AA3">
      <w:pPr>
        <w:widowControl w:val="0"/>
        <w:autoSpaceDE w:val="0"/>
        <w:autoSpaceDN w:val="0"/>
        <w:adjustRightInd w:val="0"/>
        <w:spacing w:after="120" w:line="240" w:lineRule="auto"/>
        <w:ind w:left="480" w:hanging="480"/>
        <w:rPr>
          <w:rFonts w:ascii="Calibri" w:hAnsi="Calibri" w:cs="Calibri"/>
          <w:noProof/>
        </w:rPr>
      </w:pPr>
      <w:r w:rsidRPr="00EB5AA3">
        <w:rPr>
          <w:rFonts w:ascii="Calibri" w:hAnsi="Calibri" w:cs="Calibri"/>
          <w:noProof/>
          <w:lang w:val="en-GB"/>
        </w:rPr>
        <w:lastRenderedPageBreak/>
        <w:t>WHO, 2016. ICD-10 Version:2016 [WWW Document]. URL https://icd.who.int/browse10/2016/en (accessed 10.9.19).</w:t>
      </w:r>
    </w:p>
    <w:p w14:paraId="4A29CEF1" w14:textId="51D966E1" w:rsidR="00734993" w:rsidRPr="008F2592" w:rsidRDefault="00985D55" w:rsidP="00EB5AA3">
      <w:pPr>
        <w:widowControl w:val="0"/>
        <w:autoSpaceDE w:val="0"/>
        <w:autoSpaceDN w:val="0"/>
        <w:adjustRightInd w:val="0"/>
        <w:spacing w:after="120" w:line="240" w:lineRule="auto"/>
        <w:ind w:left="480" w:hanging="480"/>
      </w:pPr>
      <w:r>
        <w:fldChar w:fldCharType="end"/>
      </w:r>
    </w:p>
    <w:sectPr w:rsidR="00734993" w:rsidRPr="008F2592" w:rsidSect="002217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7AF9" w14:textId="77777777" w:rsidR="00D82F3D" w:rsidRDefault="00D82F3D" w:rsidP="00114616">
      <w:r>
        <w:separator/>
      </w:r>
    </w:p>
  </w:endnote>
  <w:endnote w:type="continuationSeparator" w:id="0">
    <w:p w14:paraId="0B2EF299" w14:textId="77777777" w:rsidR="00D82F3D" w:rsidRDefault="00D82F3D" w:rsidP="00114616">
      <w:r>
        <w:continuationSeparator/>
      </w:r>
    </w:p>
  </w:endnote>
  <w:endnote w:type="continuationNotice" w:id="1">
    <w:p w14:paraId="40A02249" w14:textId="77777777" w:rsidR="00D82F3D" w:rsidRDefault="00D82F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1351891"/>
      <w:docPartObj>
        <w:docPartGallery w:val="Page Numbers (Bottom of Page)"/>
        <w:docPartUnique/>
      </w:docPartObj>
    </w:sdtPr>
    <w:sdtEndPr>
      <w:rPr>
        <w:rStyle w:val="PageNumber"/>
      </w:rPr>
    </w:sdtEndPr>
    <w:sdtContent>
      <w:p w14:paraId="4B712923" w14:textId="7E772159" w:rsidR="009A510E" w:rsidRDefault="009A510E" w:rsidP="00DF37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41AC06" w14:textId="77777777" w:rsidR="009A510E" w:rsidRDefault="009A510E" w:rsidP="001146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0338891"/>
      <w:docPartObj>
        <w:docPartGallery w:val="Page Numbers (Bottom of Page)"/>
        <w:docPartUnique/>
      </w:docPartObj>
    </w:sdtPr>
    <w:sdtEndPr>
      <w:rPr>
        <w:rStyle w:val="PageNumber"/>
        <w:sz w:val="18"/>
        <w:szCs w:val="18"/>
      </w:rPr>
    </w:sdtEndPr>
    <w:sdtContent>
      <w:p w14:paraId="71722BF5" w14:textId="5B27AAC8" w:rsidR="009A510E" w:rsidRPr="00A75F98" w:rsidRDefault="009A510E" w:rsidP="00DF370E">
        <w:pPr>
          <w:pStyle w:val="Footer"/>
          <w:framePr w:wrap="none" w:vAnchor="text" w:hAnchor="margin" w:xAlign="right" w:y="1"/>
          <w:rPr>
            <w:rStyle w:val="PageNumber"/>
            <w:sz w:val="18"/>
            <w:szCs w:val="18"/>
          </w:rPr>
        </w:pPr>
        <w:r w:rsidRPr="00A75F98">
          <w:rPr>
            <w:rStyle w:val="PageNumber"/>
            <w:sz w:val="18"/>
            <w:szCs w:val="18"/>
          </w:rPr>
          <w:fldChar w:fldCharType="begin"/>
        </w:r>
        <w:r w:rsidRPr="00A75F98">
          <w:rPr>
            <w:rStyle w:val="PageNumber"/>
            <w:sz w:val="18"/>
            <w:szCs w:val="18"/>
          </w:rPr>
          <w:instrText xml:space="preserve"> PAGE </w:instrText>
        </w:r>
        <w:r w:rsidRPr="00A75F98">
          <w:rPr>
            <w:rStyle w:val="PageNumber"/>
            <w:sz w:val="18"/>
            <w:szCs w:val="18"/>
          </w:rPr>
          <w:fldChar w:fldCharType="separate"/>
        </w:r>
        <w:r w:rsidRPr="00A75F98">
          <w:rPr>
            <w:rStyle w:val="PageNumber"/>
            <w:noProof/>
            <w:sz w:val="18"/>
            <w:szCs w:val="18"/>
          </w:rPr>
          <w:t>1</w:t>
        </w:r>
        <w:r w:rsidRPr="00A75F98">
          <w:rPr>
            <w:rStyle w:val="PageNumber"/>
            <w:sz w:val="18"/>
            <w:szCs w:val="18"/>
          </w:rPr>
          <w:fldChar w:fldCharType="end"/>
        </w:r>
      </w:p>
    </w:sdtContent>
  </w:sdt>
  <w:p w14:paraId="53189753" w14:textId="77777777" w:rsidR="009A510E" w:rsidRDefault="009A510E" w:rsidP="001146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7C0A" w14:textId="77777777" w:rsidR="00D82F3D" w:rsidRDefault="00D82F3D" w:rsidP="00114616">
      <w:r>
        <w:separator/>
      </w:r>
    </w:p>
  </w:footnote>
  <w:footnote w:type="continuationSeparator" w:id="0">
    <w:p w14:paraId="00CF9D52" w14:textId="77777777" w:rsidR="00D82F3D" w:rsidRDefault="00D82F3D" w:rsidP="00114616">
      <w:r>
        <w:continuationSeparator/>
      </w:r>
    </w:p>
  </w:footnote>
  <w:footnote w:type="continuationNotice" w:id="1">
    <w:p w14:paraId="34F7B823" w14:textId="77777777" w:rsidR="00D82F3D" w:rsidRDefault="00D82F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7F3E" w14:textId="1A732AD8" w:rsidR="00445C50" w:rsidRDefault="00D82F3D">
    <w:pPr>
      <w:pStyle w:val="Header"/>
    </w:pPr>
    <w:r>
      <w:rPr>
        <w:noProof/>
      </w:rPr>
      <w:pict w14:anchorId="4F3F6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53156" o:spid="_x0000_s1027" type="#_x0000_t136" alt="" style="position:absolute;left:0;text-align:left;margin-left:0;margin-top:0;width:572.3pt;height:63.5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Accepted Manuscri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ADAD" w14:textId="1C540DD2" w:rsidR="00445C50" w:rsidRDefault="00D82F3D">
    <w:pPr>
      <w:pStyle w:val="Header"/>
    </w:pPr>
    <w:r>
      <w:rPr>
        <w:noProof/>
      </w:rPr>
      <w:pict w14:anchorId="607DF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72.3pt;height:63.5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Accepted Manuscrip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D8AC" w14:textId="3A053C25" w:rsidR="00445C50" w:rsidRDefault="00D82F3D">
    <w:pPr>
      <w:pStyle w:val="Header"/>
    </w:pPr>
    <w:r>
      <w:rPr>
        <w:noProof/>
      </w:rPr>
      <w:pict w14:anchorId="75E12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53155" o:spid="_x0000_s1025" type="#_x0000_t136" alt="" style="position:absolute;left:0;text-align:left;margin-left:0;margin-top:0;width:572.3pt;height:63.5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Accepted Manuscri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B3D12"/>
    <w:multiLevelType w:val="hybridMultilevel"/>
    <w:tmpl w:val="4A8E8E0C"/>
    <w:lvl w:ilvl="0" w:tplc="D6F65676">
      <w:start w:val="4"/>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87273C"/>
    <w:multiLevelType w:val="multilevel"/>
    <w:tmpl w:val="80AA71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237299"/>
    <w:multiLevelType w:val="hybridMultilevel"/>
    <w:tmpl w:val="5EB6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2C2158"/>
    <w:multiLevelType w:val="multilevel"/>
    <w:tmpl w:val="CBE45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492CC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37520D0"/>
    <w:multiLevelType w:val="hybridMultilevel"/>
    <w:tmpl w:val="535A11A8"/>
    <w:lvl w:ilvl="0" w:tplc="8786C5F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E95991"/>
    <w:multiLevelType w:val="hybridMultilevel"/>
    <w:tmpl w:val="0B82B4FE"/>
    <w:lvl w:ilvl="0" w:tplc="4E68624A">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A7ABE"/>
    <w:multiLevelType w:val="hybridMultilevel"/>
    <w:tmpl w:val="98F8F9FE"/>
    <w:lvl w:ilvl="0" w:tplc="7DE65DCA">
      <w:start w:val="3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6"/>
  </w:num>
  <w:num w:numId="5">
    <w:abstractNumId w:val="0"/>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0F4"/>
    <w:rsid w:val="0000038E"/>
    <w:rsid w:val="00000923"/>
    <w:rsid w:val="00000AF7"/>
    <w:rsid w:val="00000E13"/>
    <w:rsid w:val="00001398"/>
    <w:rsid w:val="00001915"/>
    <w:rsid w:val="00001B3F"/>
    <w:rsid w:val="00001EE5"/>
    <w:rsid w:val="0000219C"/>
    <w:rsid w:val="0000223B"/>
    <w:rsid w:val="000024E3"/>
    <w:rsid w:val="00002677"/>
    <w:rsid w:val="000029F1"/>
    <w:rsid w:val="000039B5"/>
    <w:rsid w:val="00003B84"/>
    <w:rsid w:val="00003B89"/>
    <w:rsid w:val="0000414D"/>
    <w:rsid w:val="000045E4"/>
    <w:rsid w:val="0000495C"/>
    <w:rsid w:val="0000513A"/>
    <w:rsid w:val="0000527B"/>
    <w:rsid w:val="00005374"/>
    <w:rsid w:val="000058AF"/>
    <w:rsid w:val="000059DE"/>
    <w:rsid w:val="00005BC9"/>
    <w:rsid w:val="0000618A"/>
    <w:rsid w:val="000061D1"/>
    <w:rsid w:val="00006D79"/>
    <w:rsid w:val="00006EA1"/>
    <w:rsid w:val="00006F10"/>
    <w:rsid w:val="0000706D"/>
    <w:rsid w:val="000071B6"/>
    <w:rsid w:val="00007887"/>
    <w:rsid w:val="00007D26"/>
    <w:rsid w:val="00010B59"/>
    <w:rsid w:val="00010B6F"/>
    <w:rsid w:val="000110E9"/>
    <w:rsid w:val="0001113E"/>
    <w:rsid w:val="0001136C"/>
    <w:rsid w:val="00011454"/>
    <w:rsid w:val="00011742"/>
    <w:rsid w:val="00012736"/>
    <w:rsid w:val="00012F69"/>
    <w:rsid w:val="0001359B"/>
    <w:rsid w:val="00013BA0"/>
    <w:rsid w:val="00013F95"/>
    <w:rsid w:val="000145E9"/>
    <w:rsid w:val="00014653"/>
    <w:rsid w:val="00014A9A"/>
    <w:rsid w:val="00014ABC"/>
    <w:rsid w:val="000150CC"/>
    <w:rsid w:val="00015126"/>
    <w:rsid w:val="00015405"/>
    <w:rsid w:val="0001572F"/>
    <w:rsid w:val="0001628D"/>
    <w:rsid w:val="00016E4F"/>
    <w:rsid w:val="000171AE"/>
    <w:rsid w:val="00017444"/>
    <w:rsid w:val="0001748E"/>
    <w:rsid w:val="00020063"/>
    <w:rsid w:val="00020077"/>
    <w:rsid w:val="00020410"/>
    <w:rsid w:val="0002080C"/>
    <w:rsid w:val="00020D23"/>
    <w:rsid w:val="00020D3C"/>
    <w:rsid w:val="00020F31"/>
    <w:rsid w:val="0002268B"/>
    <w:rsid w:val="00022F0B"/>
    <w:rsid w:val="000235C8"/>
    <w:rsid w:val="0002366E"/>
    <w:rsid w:val="0002371E"/>
    <w:rsid w:val="0002424F"/>
    <w:rsid w:val="00024387"/>
    <w:rsid w:val="00025222"/>
    <w:rsid w:val="00025699"/>
    <w:rsid w:val="00025B8A"/>
    <w:rsid w:val="00025F79"/>
    <w:rsid w:val="00026155"/>
    <w:rsid w:val="00026292"/>
    <w:rsid w:val="000262BA"/>
    <w:rsid w:val="000267AF"/>
    <w:rsid w:val="00026DBD"/>
    <w:rsid w:val="000270A1"/>
    <w:rsid w:val="00027206"/>
    <w:rsid w:val="0002729F"/>
    <w:rsid w:val="0002746E"/>
    <w:rsid w:val="0002747C"/>
    <w:rsid w:val="0002759A"/>
    <w:rsid w:val="00027FF3"/>
    <w:rsid w:val="00030232"/>
    <w:rsid w:val="00030288"/>
    <w:rsid w:val="0003100E"/>
    <w:rsid w:val="00031427"/>
    <w:rsid w:val="00031459"/>
    <w:rsid w:val="00031465"/>
    <w:rsid w:val="00031AE3"/>
    <w:rsid w:val="00031BCF"/>
    <w:rsid w:val="00031BED"/>
    <w:rsid w:val="00031CB1"/>
    <w:rsid w:val="00031DE2"/>
    <w:rsid w:val="000321C3"/>
    <w:rsid w:val="000327BE"/>
    <w:rsid w:val="000328EE"/>
    <w:rsid w:val="00032C11"/>
    <w:rsid w:val="00032CE4"/>
    <w:rsid w:val="00032CFA"/>
    <w:rsid w:val="00032DA3"/>
    <w:rsid w:val="00033030"/>
    <w:rsid w:val="0003310C"/>
    <w:rsid w:val="00033111"/>
    <w:rsid w:val="000333C7"/>
    <w:rsid w:val="0003380F"/>
    <w:rsid w:val="000338BC"/>
    <w:rsid w:val="00033F6C"/>
    <w:rsid w:val="00034FEE"/>
    <w:rsid w:val="00035157"/>
    <w:rsid w:val="00035313"/>
    <w:rsid w:val="000360AF"/>
    <w:rsid w:val="00036ADC"/>
    <w:rsid w:val="00036ECE"/>
    <w:rsid w:val="000370E8"/>
    <w:rsid w:val="000371F9"/>
    <w:rsid w:val="000375A1"/>
    <w:rsid w:val="00037630"/>
    <w:rsid w:val="0003798C"/>
    <w:rsid w:val="00037A77"/>
    <w:rsid w:val="00037FC5"/>
    <w:rsid w:val="000405D0"/>
    <w:rsid w:val="000407E0"/>
    <w:rsid w:val="00040B90"/>
    <w:rsid w:val="00040C98"/>
    <w:rsid w:val="000417B3"/>
    <w:rsid w:val="00041892"/>
    <w:rsid w:val="00041C2A"/>
    <w:rsid w:val="00041E8B"/>
    <w:rsid w:val="00041EC2"/>
    <w:rsid w:val="00041F78"/>
    <w:rsid w:val="00042470"/>
    <w:rsid w:val="00042C52"/>
    <w:rsid w:val="00042F88"/>
    <w:rsid w:val="00043298"/>
    <w:rsid w:val="00043433"/>
    <w:rsid w:val="000434B4"/>
    <w:rsid w:val="00043697"/>
    <w:rsid w:val="00043824"/>
    <w:rsid w:val="00043CA1"/>
    <w:rsid w:val="00043CC6"/>
    <w:rsid w:val="00044175"/>
    <w:rsid w:val="00044457"/>
    <w:rsid w:val="000445CB"/>
    <w:rsid w:val="000446B4"/>
    <w:rsid w:val="00044B66"/>
    <w:rsid w:val="00044E4E"/>
    <w:rsid w:val="0004503C"/>
    <w:rsid w:val="000452D3"/>
    <w:rsid w:val="00045C93"/>
    <w:rsid w:val="00045F49"/>
    <w:rsid w:val="0004648D"/>
    <w:rsid w:val="00046CC2"/>
    <w:rsid w:val="00046F5B"/>
    <w:rsid w:val="00047297"/>
    <w:rsid w:val="00047C4F"/>
    <w:rsid w:val="00047EA1"/>
    <w:rsid w:val="000502BA"/>
    <w:rsid w:val="000509B0"/>
    <w:rsid w:val="00050CB7"/>
    <w:rsid w:val="000513C2"/>
    <w:rsid w:val="00051CED"/>
    <w:rsid w:val="00052164"/>
    <w:rsid w:val="00052628"/>
    <w:rsid w:val="000528C4"/>
    <w:rsid w:val="00052CD5"/>
    <w:rsid w:val="00053052"/>
    <w:rsid w:val="000532CD"/>
    <w:rsid w:val="000534C7"/>
    <w:rsid w:val="000534D6"/>
    <w:rsid w:val="0005374C"/>
    <w:rsid w:val="000539C6"/>
    <w:rsid w:val="00053A06"/>
    <w:rsid w:val="00053B6B"/>
    <w:rsid w:val="000546D6"/>
    <w:rsid w:val="00054782"/>
    <w:rsid w:val="000547EE"/>
    <w:rsid w:val="00054846"/>
    <w:rsid w:val="0005561C"/>
    <w:rsid w:val="00055BB1"/>
    <w:rsid w:val="00055F0C"/>
    <w:rsid w:val="000562EF"/>
    <w:rsid w:val="00056B5F"/>
    <w:rsid w:val="00056CE4"/>
    <w:rsid w:val="00056EA3"/>
    <w:rsid w:val="000570CD"/>
    <w:rsid w:val="0005710C"/>
    <w:rsid w:val="000572D6"/>
    <w:rsid w:val="0005733F"/>
    <w:rsid w:val="00057542"/>
    <w:rsid w:val="000575DB"/>
    <w:rsid w:val="0005769D"/>
    <w:rsid w:val="000601B1"/>
    <w:rsid w:val="000602D9"/>
    <w:rsid w:val="00060737"/>
    <w:rsid w:val="00060BAA"/>
    <w:rsid w:val="00060EE3"/>
    <w:rsid w:val="00061101"/>
    <w:rsid w:val="000612C2"/>
    <w:rsid w:val="000618D4"/>
    <w:rsid w:val="00061915"/>
    <w:rsid w:val="00061971"/>
    <w:rsid w:val="00061C1D"/>
    <w:rsid w:val="000620B3"/>
    <w:rsid w:val="000620FB"/>
    <w:rsid w:val="00062260"/>
    <w:rsid w:val="00062C83"/>
    <w:rsid w:val="00062D55"/>
    <w:rsid w:val="00062D58"/>
    <w:rsid w:val="00063043"/>
    <w:rsid w:val="00063320"/>
    <w:rsid w:val="000635DF"/>
    <w:rsid w:val="000636EB"/>
    <w:rsid w:val="00063905"/>
    <w:rsid w:val="00063B1B"/>
    <w:rsid w:val="000646DF"/>
    <w:rsid w:val="0006487A"/>
    <w:rsid w:val="00064F54"/>
    <w:rsid w:val="00065048"/>
    <w:rsid w:val="000652C8"/>
    <w:rsid w:val="0006566C"/>
    <w:rsid w:val="0006581D"/>
    <w:rsid w:val="00065A1B"/>
    <w:rsid w:val="0006613A"/>
    <w:rsid w:val="0006626B"/>
    <w:rsid w:val="000662E9"/>
    <w:rsid w:val="00066337"/>
    <w:rsid w:val="00066468"/>
    <w:rsid w:val="0006655E"/>
    <w:rsid w:val="0006683F"/>
    <w:rsid w:val="00066A4E"/>
    <w:rsid w:val="00066BAA"/>
    <w:rsid w:val="00066F73"/>
    <w:rsid w:val="00066F9D"/>
    <w:rsid w:val="00067013"/>
    <w:rsid w:val="000672D1"/>
    <w:rsid w:val="00067882"/>
    <w:rsid w:val="00067A18"/>
    <w:rsid w:val="00067E87"/>
    <w:rsid w:val="00070068"/>
    <w:rsid w:val="0007026E"/>
    <w:rsid w:val="00070394"/>
    <w:rsid w:val="00070F2D"/>
    <w:rsid w:val="00070FB4"/>
    <w:rsid w:val="00071522"/>
    <w:rsid w:val="00071582"/>
    <w:rsid w:val="0007173D"/>
    <w:rsid w:val="000717F8"/>
    <w:rsid w:val="000718A9"/>
    <w:rsid w:val="00071C09"/>
    <w:rsid w:val="000720E6"/>
    <w:rsid w:val="000728EF"/>
    <w:rsid w:val="00072DE0"/>
    <w:rsid w:val="0007349C"/>
    <w:rsid w:val="000735E4"/>
    <w:rsid w:val="00073778"/>
    <w:rsid w:val="000737B6"/>
    <w:rsid w:val="00073869"/>
    <w:rsid w:val="00073AB0"/>
    <w:rsid w:val="00073AE3"/>
    <w:rsid w:val="0007408B"/>
    <w:rsid w:val="000754DB"/>
    <w:rsid w:val="0007585E"/>
    <w:rsid w:val="000764FE"/>
    <w:rsid w:val="000765F3"/>
    <w:rsid w:val="00076D10"/>
    <w:rsid w:val="00076D2F"/>
    <w:rsid w:val="00076F80"/>
    <w:rsid w:val="00076FEB"/>
    <w:rsid w:val="000770A6"/>
    <w:rsid w:val="00077488"/>
    <w:rsid w:val="00077873"/>
    <w:rsid w:val="00077D3A"/>
    <w:rsid w:val="00080649"/>
    <w:rsid w:val="00081300"/>
    <w:rsid w:val="00081D6A"/>
    <w:rsid w:val="00081D7C"/>
    <w:rsid w:val="00082108"/>
    <w:rsid w:val="000821C3"/>
    <w:rsid w:val="00082666"/>
    <w:rsid w:val="0008276F"/>
    <w:rsid w:val="00082960"/>
    <w:rsid w:val="00082D59"/>
    <w:rsid w:val="00082D91"/>
    <w:rsid w:val="0008300E"/>
    <w:rsid w:val="00083939"/>
    <w:rsid w:val="00083D38"/>
    <w:rsid w:val="00083E4B"/>
    <w:rsid w:val="0008428E"/>
    <w:rsid w:val="00084DCB"/>
    <w:rsid w:val="00085244"/>
    <w:rsid w:val="00085601"/>
    <w:rsid w:val="00085911"/>
    <w:rsid w:val="00085E54"/>
    <w:rsid w:val="000862CE"/>
    <w:rsid w:val="00086411"/>
    <w:rsid w:val="00086D22"/>
    <w:rsid w:val="000870E2"/>
    <w:rsid w:val="0008768C"/>
    <w:rsid w:val="00087B16"/>
    <w:rsid w:val="00087ED5"/>
    <w:rsid w:val="00087F95"/>
    <w:rsid w:val="000906B5"/>
    <w:rsid w:val="00090816"/>
    <w:rsid w:val="00090E11"/>
    <w:rsid w:val="0009117A"/>
    <w:rsid w:val="000911F1"/>
    <w:rsid w:val="00091B9F"/>
    <w:rsid w:val="00091CF1"/>
    <w:rsid w:val="00091CFE"/>
    <w:rsid w:val="0009208A"/>
    <w:rsid w:val="00092310"/>
    <w:rsid w:val="00092919"/>
    <w:rsid w:val="000929EF"/>
    <w:rsid w:val="00092A1E"/>
    <w:rsid w:val="00092B89"/>
    <w:rsid w:val="00092E1A"/>
    <w:rsid w:val="00092F04"/>
    <w:rsid w:val="000933E0"/>
    <w:rsid w:val="0009376C"/>
    <w:rsid w:val="00093CAF"/>
    <w:rsid w:val="00093D12"/>
    <w:rsid w:val="0009408D"/>
    <w:rsid w:val="000945F7"/>
    <w:rsid w:val="000948F8"/>
    <w:rsid w:val="00094F40"/>
    <w:rsid w:val="00094FA0"/>
    <w:rsid w:val="00095381"/>
    <w:rsid w:val="00095393"/>
    <w:rsid w:val="000953A7"/>
    <w:rsid w:val="00095495"/>
    <w:rsid w:val="000959B5"/>
    <w:rsid w:val="000959C9"/>
    <w:rsid w:val="00095CBF"/>
    <w:rsid w:val="00095F8C"/>
    <w:rsid w:val="000961D4"/>
    <w:rsid w:val="0009625E"/>
    <w:rsid w:val="00096281"/>
    <w:rsid w:val="0009636A"/>
    <w:rsid w:val="00096C49"/>
    <w:rsid w:val="00096D3D"/>
    <w:rsid w:val="000970C8"/>
    <w:rsid w:val="000971AD"/>
    <w:rsid w:val="00097229"/>
    <w:rsid w:val="00097D65"/>
    <w:rsid w:val="00097FE8"/>
    <w:rsid w:val="000A0805"/>
    <w:rsid w:val="000A0AFD"/>
    <w:rsid w:val="000A0DD8"/>
    <w:rsid w:val="000A1109"/>
    <w:rsid w:val="000A141C"/>
    <w:rsid w:val="000A261E"/>
    <w:rsid w:val="000A2DBA"/>
    <w:rsid w:val="000A3194"/>
    <w:rsid w:val="000A3285"/>
    <w:rsid w:val="000A32F4"/>
    <w:rsid w:val="000A3518"/>
    <w:rsid w:val="000A363F"/>
    <w:rsid w:val="000A3FFE"/>
    <w:rsid w:val="000A4121"/>
    <w:rsid w:val="000A430A"/>
    <w:rsid w:val="000A439E"/>
    <w:rsid w:val="000A489C"/>
    <w:rsid w:val="000A48A8"/>
    <w:rsid w:val="000A4EC1"/>
    <w:rsid w:val="000A59A0"/>
    <w:rsid w:val="000A6123"/>
    <w:rsid w:val="000A6166"/>
    <w:rsid w:val="000A637C"/>
    <w:rsid w:val="000A68A2"/>
    <w:rsid w:val="000A6F00"/>
    <w:rsid w:val="000A75A4"/>
    <w:rsid w:val="000A7D4B"/>
    <w:rsid w:val="000B0474"/>
    <w:rsid w:val="000B0759"/>
    <w:rsid w:val="000B0778"/>
    <w:rsid w:val="000B07CF"/>
    <w:rsid w:val="000B0C1A"/>
    <w:rsid w:val="000B0C88"/>
    <w:rsid w:val="000B1D4A"/>
    <w:rsid w:val="000B2C31"/>
    <w:rsid w:val="000B2E95"/>
    <w:rsid w:val="000B3471"/>
    <w:rsid w:val="000B36FB"/>
    <w:rsid w:val="000B39E2"/>
    <w:rsid w:val="000B40A8"/>
    <w:rsid w:val="000B4446"/>
    <w:rsid w:val="000B4964"/>
    <w:rsid w:val="000B4F26"/>
    <w:rsid w:val="000B5047"/>
    <w:rsid w:val="000B510F"/>
    <w:rsid w:val="000B526A"/>
    <w:rsid w:val="000B5655"/>
    <w:rsid w:val="000B5C35"/>
    <w:rsid w:val="000B5FB6"/>
    <w:rsid w:val="000B616B"/>
    <w:rsid w:val="000B61AA"/>
    <w:rsid w:val="000B6436"/>
    <w:rsid w:val="000B646A"/>
    <w:rsid w:val="000B6865"/>
    <w:rsid w:val="000B69AB"/>
    <w:rsid w:val="000B6A69"/>
    <w:rsid w:val="000B6A99"/>
    <w:rsid w:val="000B6C6A"/>
    <w:rsid w:val="000B6CA2"/>
    <w:rsid w:val="000B6CCC"/>
    <w:rsid w:val="000B6CD6"/>
    <w:rsid w:val="000B6DFD"/>
    <w:rsid w:val="000B704F"/>
    <w:rsid w:val="000B7A4F"/>
    <w:rsid w:val="000B7B67"/>
    <w:rsid w:val="000B7E75"/>
    <w:rsid w:val="000C03F7"/>
    <w:rsid w:val="000C0A5E"/>
    <w:rsid w:val="000C0D1B"/>
    <w:rsid w:val="000C0E86"/>
    <w:rsid w:val="000C0F24"/>
    <w:rsid w:val="000C11E6"/>
    <w:rsid w:val="000C140C"/>
    <w:rsid w:val="000C1820"/>
    <w:rsid w:val="000C1AEB"/>
    <w:rsid w:val="000C1B04"/>
    <w:rsid w:val="000C1B0B"/>
    <w:rsid w:val="000C205C"/>
    <w:rsid w:val="000C2E0E"/>
    <w:rsid w:val="000C2E63"/>
    <w:rsid w:val="000C2EBF"/>
    <w:rsid w:val="000C3465"/>
    <w:rsid w:val="000C35C0"/>
    <w:rsid w:val="000C3BAC"/>
    <w:rsid w:val="000C3F6A"/>
    <w:rsid w:val="000C4641"/>
    <w:rsid w:val="000C4729"/>
    <w:rsid w:val="000C4783"/>
    <w:rsid w:val="000C4C47"/>
    <w:rsid w:val="000C4ED3"/>
    <w:rsid w:val="000C5042"/>
    <w:rsid w:val="000C514F"/>
    <w:rsid w:val="000C51B5"/>
    <w:rsid w:val="000C5983"/>
    <w:rsid w:val="000C5FB7"/>
    <w:rsid w:val="000C65F7"/>
    <w:rsid w:val="000C6B8E"/>
    <w:rsid w:val="000C7199"/>
    <w:rsid w:val="000C7426"/>
    <w:rsid w:val="000C74AA"/>
    <w:rsid w:val="000C75C1"/>
    <w:rsid w:val="000C7640"/>
    <w:rsid w:val="000C7DF1"/>
    <w:rsid w:val="000C7EB0"/>
    <w:rsid w:val="000D0161"/>
    <w:rsid w:val="000D0C14"/>
    <w:rsid w:val="000D0D25"/>
    <w:rsid w:val="000D0E54"/>
    <w:rsid w:val="000D0F91"/>
    <w:rsid w:val="000D1101"/>
    <w:rsid w:val="000D2AFF"/>
    <w:rsid w:val="000D2CC9"/>
    <w:rsid w:val="000D2F7A"/>
    <w:rsid w:val="000D3986"/>
    <w:rsid w:val="000D3A51"/>
    <w:rsid w:val="000D3AE7"/>
    <w:rsid w:val="000D3C47"/>
    <w:rsid w:val="000D41D3"/>
    <w:rsid w:val="000D44AA"/>
    <w:rsid w:val="000D49E1"/>
    <w:rsid w:val="000D4BEF"/>
    <w:rsid w:val="000D4D14"/>
    <w:rsid w:val="000D4D69"/>
    <w:rsid w:val="000D4E97"/>
    <w:rsid w:val="000D53FE"/>
    <w:rsid w:val="000D57AD"/>
    <w:rsid w:val="000D5916"/>
    <w:rsid w:val="000D5CEE"/>
    <w:rsid w:val="000D5D11"/>
    <w:rsid w:val="000D62ED"/>
    <w:rsid w:val="000D684D"/>
    <w:rsid w:val="000D6AC5"/>
    <w:rsid w:val="000D6ED5"/>
    <w:rsid w:val="000D7041"/>
    <w:rsid w:val="000D71BD"/>
    <w:rsid w:val="000D71C5"/>
    <w:rsid w:val="000D7482"/>
    <w:rsid w:val="000D7517"/>
    <w:rsid w:val="000D7541"/>
    <w:rsid w:val="000D7605"/>
    <w:rsid w:val="000D7ACB"/>
    <w:rsid w:val="000D7B4F"/>
    <w:rsid w:val="000D7BF9"/>
    <w:rsid w:val="000D7E09"/>
    <w:rsid w:val="000D7EF8"/>
    <w:rsid w:val="000E0173"/>
    <w:rsid w:val="000E035E"/>
    <w:rsid w:val="000E09DA"/>
    <w:rsid w:val="000E0A49"/>
    <w:rsid w:val="000E0C8B"/>
    <w:rsid w:val="000E0D17"/>
    <w:rsid w:val="000E0E0D"/>
    <w:rsid w:val="000E0ED0"/>
    <w:rsid w:val="000E1349"/>
    <w:rsid w:val="000E1386"/>
    <w:rsid w:val="000E1B58"/>
    <w:rsid w:val="000E2248"/>
    <w:rsid w:val="000E29F1"/>
    <w:rsid w:val="000E2C50"/>
    <w:rsid w:val="000E2C96"/>
    <w:rsid w:val="000E3032"/>
    <w:rsid w:val="000E3105"/>
    <w:rsid w:val="000E327B"/>
    <w:rsid w:val="000E33B2"/>
    <w:rsid w:val="000E3B1F"/>
    <w:rsid w:val="000E3D6A"/>
    <w:rsid w:val="000E3DEC"/>
    <w:rsid w:val="000E4748"/>
    <w:rsid w:val="000E4C0C"/>
    <w:rsid w:val="000E544E"/>
    <w:rsid w:val="000E5EA4"/>
    <w:rsid w:val="000E5EFC"/>
    <w:rsid w:val="000E6591"/>
    <w:rsid w:val="000E6AFA"/>
    <w:rsid w:val="000E6B86"/>
    <w:rsid w:val="000E7207"/>
    <w:rsid w:val="000E73BA"/>
    <w:rsid w:val="000E743C"/>
    <w:rsid w:val="000E74CA"/>
    <w:rsid w:val="000E7DAA"/>
    <w:rsid w:val="000E7FE1"/>
    <w:rsid w:val="000F04BF"/>
    <w:rsid w:val="000F05D4"/>
    <w:rsid w:val="000F0664"/>
    <w:rsid w:val="000F06DD"/>
    <w:rsid w:val="000F0962"/>
    <w:rsid w:val="000F0AA2"/>
    <w:rsid w:val="000F0B99"/>
    <w:rsid w:val="000F0F09"/>
    <w:rsid w:val="000F1363"/>
    <w:rsid w:val="000F1F0C"/>
    <w:rsid w:val="000F2171"/>
    <w:rsid w:val="000F2331"/>
    <w:rsid w:val="000F24BC"/>
    <w:rsid w:val="000F2627"/>
    <w:rsid w:val="000F2947"/>
    <w:rsid w:val="000F2BF4"/>
    <w:rsid w:val="000F303D"/>
    <w:rsid w:val="000F333B"/>
    <w:rsid w:val="000F3385"/>
    <w:rsid w:val="000F3430"/>
    <w:rsid w:val="000F3512"/>
    <w:rsid w:val="000F3525"/>
    <w:rsid w:val="000F3640"/>
    <w:rsid w:val="000F39D8"/>
    <w:rsid w:val="000F3A28"/>
    <w:rsid w:val="000F3AB2"/>
    <w:rsid w:val="000F3B07"/>
    <w:rsid w:val="000F3BEA"/>
    <w:rsid w:val="000F465B"/>
    <w:rsid w:val="000F5567"/>
    <w:rsid w:val="000F5765"/>
    <w:rsid w:val="000F5C8E"/>
    <w:rsid w:val="000F60D6"/>
    <w:rsid w:val="000F61AC"/>
    <w:rsid w:val="000F61BC"/>
    <w:rsid w:val="000F62FF"/>
    <w:rsid w:val="000F6413"/>
    <w:rsid w:val="000F6CEA"/>
    <w:rsid w:val="000F716A"/>
    <w:rsid w:val="000F7188"/>
    <w:rsid w:val="000F7D06"/>
    <w:rsid w:val="000F7D0B"/>
    <w:rsid w:val="0010011A"/>
    <w:rsid w:val="001002CF"/>
    <w:rsid w:val="00100411"/>
    <w:rsid w:val="00100493"/>
    <w:rsid w:val="0010086B"/>
    <w:rsid w:val="00100CCF"/>
    <w:rsid w:val="00100F05"/>
    <w:rsid w:val="0010109D"/>
    <w:rsid w:val="001015A7"/>
    <w:rsid w:val="001016B5"/>
    <w:rsid w:val="00101705"/>
    <w:rsid w:val="001019AE"/>
    <w:rsid w:val="00101C00"/>
    <w:rsid w:val="00101F66"/>
    <w:rsid w:val="00102124"/>
    <w:rsid w:val="00102198"/>
    <w:rsid w:val="00102400"/>
    <w:rsid w:val="00102B6D"/>
    <w:rsid w:val="00102CBD"/>
    <w:rsid w:val="00103326"/>
    <w:rsid w:val="00103843"/>
    <w:rsid w:val="001042F0"/>
    <w:rsid w:val="001049E3"/>
    <w:rsid w:val="00104F86"/>
    <w:rsid w:val="00105200"/>
    <w:rsid w:val="0010530E"/>
    <w:rsid w:val="00105C63"/>
    <w:rsid w:val="001061B4"/>
    <w:rsid w:val="0010620D"/>
    <w:rsid w:val="0010623D"/>
    <w:rsid w:val="00106360"/>
    <w:rsid w:val="0010662B"/>
    <w:rsid w:val="001066A7"/>
    <w:rsid w:val="00106ECF"/>
    <w:rsid w:val="00107859"/>
    <w:rsid w:val="0010799F"/>
    <w:rsid w:val="001079D0"/>
    <w:rsid w:val="00107ECE"/>
    <w:rsid w:val="00107F1A"/>
    <w:rsid w:val="001100E8"/>
    <w:rsid w:val="001101A7"/>
    <w:rsid w:val="001105CF"/>
    <w:rsid w:val="001107F4"/>
    <w:rsid w:val="00110838"/>
    <w:rsid w:val="00110B36"/>
    <w:rsid w:val="0011117F"/>
    <w:rsid w:val="00111489"/>
    <w:rsid w:val="00111770"/>
    <w:rsid w:val="00111AC5"/>
    <w:rsid w:val="00111DA2"/>
    <w:rsid w:val="00111F96"/>
    <w:rsid w:val="001120EB"/>
    <w:rsid w:val="0011285F"/>
    <w:rsid w:val="001132CC"/>
    <w:rsid w:val="001136DF"/>
    <w:rsid w:val="00113E16"/>
    <w:rsid w:val="00113F62"/>
    <w:rsid w:val="001141C3"/>
    <w:rsid w:val="00114495"/>
    <w:rsid w:val="0011451D"/>
    <w:rsid w:val="00114616"/>
    <w:rsid w:val="0011481E"/>
    <w:rsid w:val="00114AB8"/>
    <w:rsid w:val="00114D38"/>
    <w:rsid w:val="001155DD"/>
    <w:rsid w:val="0011574A"/>
    <w:rsid w:val="00115A51"/>
    <w:rsid w:val="00115BF1"/>
    <w:rsid w:val="001161AC"/>
    <w:rsid w:val="0011656E"/>
    <w:rsid w:val="001168FF"/>
    <w:rsid w:val="00116B2C"/>
    <w:rsid w:val="00116CAA"/>
    <w:rsid w:val="001170DC"/>
    <w:rsid w:val="0011741D"/>
    <w:rsid w:val="0011756A"/>
    <w:rsid w:val="001176AC"/>
    <w:rsid w:val="0011771B"/>
    <w:rsid w:val="0011797C"/>
    <w:rsid w:val="00117E82"/>
    <w:rsid w:val="00117FAD"/>
    <w:rsid w:val="00117FCD"/>
    <w:rsid w:val="00117FFB"/>
    <w:rsid w:val="001207DC"/>
    <w:rsid w:val="00120AF1"/>
    <w:rsid w:val="00121089"/>
    <w:rsid w:val="0012127E"/>
    <w:rsid w:val="001213CE"/>
    <w:rsid w:val="00121CBB"/>
    <w:rsid w:val="00121E58"/>
    <w:rsid w:val="00121FA9"/>
    <w:rsid w:val="001220B2"/>
    <w:rsid w:val="0012211D"/>
    <w:rsid w:val="00122415"/>
    <w:rsid w:val="001227AE"/>
    <w:rsid w:val="001227DF"/>
    <w:rsid w:val="00122901"/>
    <w:rsid w:val="00122C81"/>
    <w:rsid w:val="00122CBF"/>
    <w:rsid w:val="00123163"/>
    <w:rsid w:val="00123197"/>
    <w:rsid w:val="00123A46"/>
    <w:rsid w:val="0012467C"/>
    <w:rsid w:val="00124ACD"/>
    <w:rsid w:val="00124F4B"/>
    <w:rsid w:val="0012580B"/>
    <w:rsid w:val="00125844"/>
    <w:rsid w:val="00125E36"/>
    <w:rsid w:val="0012666A"/>
    <w:rsid w:val="00126DCF"/>
    <w:rsid w:val="0012716A"/>
    <w:rsid w:val="001271A6"/>
    <w:rsid w:val="0012728D"/>
    <w:rsid w:val="001273B0"/>
    <w:rsid w:val="0012773A"/>
    <w:rsid w:val="00127B3E"/>
    <w:rsid w:val="00127EB4"/>
    <w:rsid w:val="00130103"/>
    <w:rsid w:val="001306F4"/>
    <w:rsid w:val="00130EA0"/>
    <w:rsid w:val="001310A5"/>
    <w:rsid w:val="00131273"/>
    <w:rsid w:val="0013136C"/>
    <w:rsid w:val="00131A3D"/>
    <w:rsid w:val="00132033"/>
    <w:rsid w:val="001321EC"/>
    <w:rsid w:val="00132FD5"/>
    <w:rsid w:val="001332FB"/>
    <w:rsid w:val="00133652"/>
    <w:rsid w:val="00133C8A"/>
    <w:rsid w:val="0013476E"/>
    <w:rsid w:val="00134E48"/>
    <w:rsid w:val="00135248"/>
    <w:rsid w:val="00135AD9"/>
    <w:rsid w:val="00136236"/>
    <w:rsid w:val="00136ABA"/>
    <w:rsid w:val="00136DA7"/>
    <w:rsid w:val="001370CF"/>
    <w:rsid w:val="0013745F"/>
    <w:rsid w:val="001374AC"/>
    <w:rsid w:val="00137538"/>
    <w:rsid w:val="00137982"/>
    <w:rsid w:val="00137FB9"/>
    <w:rsid w:val="001401F3"/>
    <w:rsid w:val="00140A5E"/>
    <w:rsid w:val="00140DEF"/>
    <w:rsid w:val="00140F71"/>
    <w:rsid w:val="0014108B"/>
    <w:rsid w:val="001421F1"/>
    <w:rsid w:val="00142D0D"/>
    <w:rsid w:val="00142E4C"/>
    <w:rsid w:val="00143367"/>
    <w:rsid w:val="00143689"/>
    <w:rsid w:val="00143F45"/>
    <w:rsid w:val="00144A1D"/>
    <w:rsid w:val="00144BBD"/>
    <w:rsid w:val="00145066"/>
    <w:rsid w:val="00145071"/>
    <w:rsid w:val="001457D7"/>
    <w:rsid w:val="0014594F"/>
    <w:rsid w:val="00145CA1"/>
    <w:rsid w:val="00145DC3"/>
    <w:rsid w:val="00145F2A"/>
    <w:rsid w:val="00146530"/>
    <w:rsid w:val="00146568"/>
    <w:rsid w:val="001466B2"/>
    <w:rsid w:val="00146789"/>
    <w:rsid w:val="00146C53"/>
    <w:rsid w:val="00146F29"/>
    <w:rsid w:val="0014717F"/>
    <w:rsid w:val="001476C7"/>
    <w:rsid w:val="001477A3"/>
    <w:rsid w:val="00147C13"/>
    <w:rsid w:val="0015002B"/>
    <w:rsid w:val="001501D7"/>
    <w:rsid w:val="00150319"/>
    <w:rsid w:val="001504C6"/>
    <w:rsid w:val="00150816"/>
    <w:rsid w:val="00151039"/>
    <w:rsid w:val="001522AE"/>
    <w:rsid w:val="001522DD"/>
    <w:rsid w:val="0015257A"/>
    <w:rsid w:val="001527B5"/>
    <w:rsid w:val="0015302E"/>
    <w:rsid w:val="001537ED"/>
    <w:rsid w:val="00153CBE"/>
    <w:rsid w:val="0015418F"/>
    <w:rsid w:val="00154261"/>
    <w:rsid w:val="00154321"/>
    <w:rsid w:val="00154B8D"/>
    <w:rsid w:val="001558BB"/>
    <w:rsid w:val="0015596E"/>
    <w:rsid w:val="001559E7"/>
    <w:rsid w:val="001564C2"/>
    <w:rsid w:val="00156605"/>
    <w:rsid w:val="0015684A"/>
    <w:rsid w:val="00156B3E"/>
    <w:rsid w:val="0015787E"/>
    <w:rsid w:val="00157A13"/>
    <w:rsid w:val="00157B8E"/>
    <w:rsid w:val="00157E87"/>
    <w:rsid w:val="00157F18"/>
    <w:rsid w:val="001606D2"/>
    <w:rsid w:val="0016071E"/>
    <w:rsid w:val="001609D1"/>
    <w:rsid w:val="00160BF3"/>
    <w:rsid w:val="00160DDF"/>
    <w:rsid w:val="001610BF"/>
    <w:rsid w:val="0016110A"/>
    <w:rsid w:val="001615DB"/>
    <w:rsid w:val="001615DC"/>
    <w:rsid w:val="00161C76"/>
    <w:rsid w:val="00161F1D"/>
    <w:rsid w:val="00162431"/>
    <w:rsid w:val="0016250F"/>
    <w:rsid w:val="00162613"/>
    <w:rsid w:val="00162770"/>
    <w:rsid w:val="001629BB"/>
    <w:rsid w:val="00162CFA"/>
    <w:rsid w:val="00163285"/>
    <w:rsid w:val="001634F1"/>
    <w:rsid w:val="00163570"/>
    <w:rsid w:val="00163666"/>
    <w:rsid w:val="001638E7"/>
    <w:rsid w:val="00163AF4"/>
    <w:rsid w:val="00163BEE"/>
    <w:rsid w:val="00163D04"/>
    <w:rsid w:val="0016430B"/>
    <w:rsid w:val="001644FB"/>
    <w:rsid w:val="001646BD"/>
    <w:rsid w:val="00164BB4"/>
    <w:rsid w:val="00164D09"/>
    <w:rsid w:val="00164ECE"/>
    <w:rsid w:val="00164EFA"/>
    <w:rsid w:val="00164FD9"/>
    <w:rsid w:val="0016530F"/>
    <w:rsid w:val="00165429"/>
    <w:rsid w:val="001655E3"/>
    <w:rsid w:val="001655E9"/>
    <w:rsid w:val="00165909"/>
    <w:rsid w:val="00165BE5"/>
    <w:rsid w:val="00165CD7"/>
    <w:rsid w:val="00165EB8"/>
    <w:rsid w:val="00165F39"/>
    <w:rsid w:val="001661A1"/>
    <w:rsid w:val="0016627C"/>
    <w:rsid w:val="00166873"/>
    <w:rsid w:val="00166981"/>
    <w:rsid w:val="00166ED8"/>
    <w:rsid w:val="0016734C"/>
    <w:rsid w:val="001675A0"/>
    <w:rsid w:val="00167790"/>
    <w:rsid w:val="00167959"/>
    <w:rsid w:val="00167C15"/>
    <w:rsid w:val="00167CE9"/>
    <w:rsid w:val="00170004"/>
    <w:rsid w:val="00170070"/>
    <w:rsid w:val="0017059B"/>
    <w:rsid w:val="0017070F"/>
    <w:rsid w:val="0017078C"/>
    <w:rsid w:val="0017083D"/>
    <w:rsid w:val="00170F3B"/>
    <w:rsid w:val="00171122"/>
    <w:rsid w:val="001712AA"/>
    <w:rsid w:val="0017150B"/>
    <w:rsid w:val="0017163D"/>
    <w:rsid w:val="001716A2"/>
    <w:rsid w:val="00171C3C"/>
    <w:rsid w:val="00171DEE"/>
    <w:rsid w:val="00172326"/>
    <w:rsid w:val="001723B2"/>
    <w:rsid w:val="00172815"/>
    <w:rsid w:val="0017296D"/>
    <w:rsid w:val="00172DE5"/>
    <w:rsid w:val="0017361C"/>
    <w:rsid w:val="001742FB"/>
    <w:rsid w:val="001745CB"/>
    <w:rsid w:val="001756C2"/>
    <w:rsid w:val="0017573D"/>
    <w:rsid w:val="00175A53"/>
    <w:rsid w:val="00175B2E"/>
    <w:rsid w:val="00175B88"/>
    <w:rsid w:val="00175C28"/>
    <w:rsid w:val="00175F7C"/>
    <w:rsid w:val="00176095"/>
    <w:rsid w:val="001760CF"/>
    <w:rsid w:val="001761B8"/>
    <w:rsid w:val="0017659A"/>
    <w:rsid w:val="001765DB"/>
    <w:rsid w:val="00176770"/>
    <w:rsid w:val="00176ACE"/>
    <w:rsid w:val="00176B72"/>
    <w:rsid w:val="00177031"/>
    <w:rsid w:val="00177ED6"/>
    <w:rsid w:val="00180029"/>
    <w:rsid w:val="00180237"/>
    <w:rsid w:val="00180309"/>
    <w:rsid w:val="00180410"/>
    <w:rsid w:val="00180833"/>
    <w:rsid w:val="001810C1"/>
    <w:rsid w:val="0018131F"/>
    <w:rsid w:val="001813EB"/>
    <w:rsid w:val="00181710"/>
    <w:rsid w:val="00181A47"/>
    <w:rsid w:val="00182370"/>
    <w:rsid w:val="0018263F"/>
    <w:rsid w:val="00182AE2"/>
    <w:rsid w:val="00182BA8"/>
    <w:rsid w:val="0018371B"/>
    <w:rsid w:val="00183AE4"/>
    <w:rsid w:val="0018504A"/>
    <w:rsid w:val="00185119"/>
    <w:rsid w:val="00185137"/>
    <w:rsid w:val="00185605"/>
    <w:rsid w:val="001856C4"/>
    <w:rsid w:val="0018574C"/>
    <w:rsid w:val="001857CD"/>
    <w:rsid w:val="00185830"/>
    <w:rsid w:val="00185B56"/>
    <w:rsid w:val="0018619E"/>
    <w:rsid w:val="00186362"/>
    <w:rsid w:val="001863FE"/>
    <w:rsid w:val="00186445"/>
    <w:rsid w:val="00186544"/>
    <w:rsid w:val="0018657F"/>
    <w:rsid w:val="00186AD4"/>
    <w:rsid w:val="00186D37"/>
    <w:rsid w:val="00186DF9"/>
    <w:rsid w:val="001871ED"/>
    <w:rsid w:val="00187506"/>
    <w:rsid w:val="00187AB4"/>
    <w:rsid w:val="00187E61"/>
    <w:rsid w:val="00190200"/>
    <w:rsid w:val="001902E0"/>
    <w:rsid w:val="0019063D"/>
    <w:rsid w:val="00191F3A"/>
    <w:rsid w:val="0019217F"/>
    <w:rsid w:val="001925B6"/>
    <w:rsid w:val="0019278D"/>
    <w:rsid w:val="001929C9"/>
    <w:rsid w:val="00192A6C"/>
    <w:rsid w:val="001930AE"/>
    <w:rsid w:val="001930FC"/>
    <w:rsid w:val="001936EB"/>
    <w:rsid w:val="00193A70"/>
    <w:rsid w:val="00193F2B"/>
    <w:rsid w:val="001940D2"/>
    <w:rsid w:val="00194217"/>
    <w:rsid w:val="001942DD"/>
    <w:rsid w:val="00194602"/>
    <w:rsid w:val="00194AF1"/>
    <w:rsid w:val="00194C78"/>
    <w:rsid w:val="00194DB9"/>
    <w:rsid w:val="001954FA"/>
    <w:rsid w:val="00195906"/>
    <w:rsid w:val="00195E34"/>
    <w:rsid w:val="00196453"/>
    <w:rsid w:val="00196673"/>
    <w:rsid w:val="001966DF"/>
    <w:rsid w:val="00196722"/>
    <w:rsid w:val="00196971"/>
    <w:rsid w:val="00196B43"/>
    <w:rsid w:val="00196E8F"/>
    <w:rsid w:val="00196F6A"/>
    <w:rsid w:val="001971D2"/>
    <w:rsid w:val="00197972"/>
    <w:rsid w:val="00197BBC"/>
    <w:rsid w:val="001A02DC"/>
    <w:rsid w:val="001A0674"/>
    <w:rsid w:val="001A0691"/>
    <w:rsid w:val="001A0D43"/>
    <w:rsid w:val="001A0E89"/>
    <w:rsid w:val="001A1380"/>
    <w:rsid w:val="001A13AE"/>
    <w:rsid w:val="001A15DF"/>
    <w:rsid w:val="001A16D7"/>
    <w:rsid w:val="001A173B"/>
    <w:rsid w:val="001A1868"/>
    <w:rsid w:val="001A1986"/>
    <w:rsid w:val="001A1B76"/>
    <w:rsid w:val="001A1CE8"/>
    <w:rsid w:val="001A2585"/>
    <w:rsid w:val="001A2E29"/>
    <w:rsid w:val="001A3014"/>
    <w:rsid w:val="001A30CE"/>
    <w:rsid w:val="001A3218"/>
    <w:rsid w:val="001A3665"/>
    <w:rsid w:val="001A3BE3"/>
    <w:rsid w:val="001A4027"/>
    <w:rsid w:val="001A459F"/>
    <w:rsid w:val="001A48BF"/>
    <w:rsid w:val="001A492A"/>
    <w:rsid w:val="001A4931"/>
    <w:rsid w:val="001A51A1"/>
    <w:rsid w:val="001A51FB"/>
    <w:rsid w:val="001A5216"/>
    <w:rsid w:val="001A5781"/>
    <w:rsid w:val="001A57C2"/>
    <w:rsid w:val="001A5DA1"/>
    <w:rsid w:val="001A61DA"/>
    <w:rsid w:val="001A6342"/>
    <w:rsid w:val="001A645D"/>
    <w:rsid w:val="001A6B99"/>
    <w:rsid w:val="001A6D66"/>
    <w:rsid w:val="001A6EA6"/>
    <w:rsid w:val="001A6EAE"/>
    <w:rsid w:val="001A713E"/>
    <w:rsid w:val="001A796D"/>
    <w:rsid w:val="001A7D4C"/>
    <w:rsid w:val="001B002A"/>
    <w:rsid w:val="001B051A"/>
    <w:rsid w:val="001B06BE"/>
    <w:rsid w:val="001B0A56"/>
    <w:rsid w:val="001B0AF9"/>
    <w:rsid w:val="001B1294"/>
    <w:rsid w:val="001B1576"/>
    <w:rsid w:val="001B15F5"/>
    <w:rsid w:val="001B1B85"/>
    <w:rsid w:val="001B1EBB"/>
    <w:rsid w:val="001B1FF1"/>
    <w:rsid w:val="001B2152"/>
    <w:rsid w:val="001B239F"/>
    <w:rsid w:val="001B2550"/>
    <w:rsid w:val="001B262D"/>
    <w:rsid w:val="001B2728"/>
    <w:rsid w:val="001B284A"/>
    <w:rsid w:val="001B2899"/>
    <w:rsid w:val="001B28D6"/>
    <w:rsid w:val="001B2C33"/>
    <w:rsid w:val="001B2E30"/>
    <w:rsid w:val="001B31A0"/>
    <w:rsid w:val="001B32C4"/>
    <w:rsid w:val="001B3594"/>
    <w:rsid w:val="001B36FD"/>
    <w:rsid w:val="001B37AC"/>
    <w:rsid w:val="001B4043"/>
    <w:rsid w:val="001B4423"/>
    <w:rsid w:val="001B4991"/>
    <w:rsid w:val="001B4FDB"/>
    <w:rsid w:val="001B5117"/>
    <w:rsid w:val="001B5274"/>
    <w:rsid w:val="001B56EB"/>
    <w:rsid w:val="001B5F8D"/>
    <w:rsid w:val="001B6144"/>
    <w:rsid w:val="001B627B"/>
    <w:rsid w:val="001B7494"/>
    <w:rsid w:val="001B7E67"/>
    <w:rsid w:val="001B7F2B"/>
    <w:rsid w:val="001C02E0"/>
    <w:rsid w:val="001C08A1"/>
    <w:rsid w:val="001C0BF9"/>
    <w:rsid w:val="001C0EAA"/>
    <w:rsid w:val="001C13A5"/>
    <w:rsid w:val="001C1A9F"/>
    <w:rsid w:val="001C1B11"/>
    <w:rsid w:val="001C1BA2"/>
    <w:rsid w:val="001C1F70"/>
    <w:rsid w:val="001C2339"/>
    <w:rsid w:val="001C26BB"/>
    <w:rsid w:val="001C2BBD"/>
    <w:rsid w:val="001C2E42"/>
    <w:rsid w:val="001C2FBA"/>
    <w:rsid w:val="001C344F"/>
    <w:rsid w:val="001C356A"/>
    <w:rsid w:val="001C36FC"/>
    <w:rsid w:val="001C39FC"/>
    <w:rsid w:val="001C3A7F"/>
    <w:rsid w:val="001C3D31"/>
    <w:rsid w:val="001C4061"/>
    <w:rsid w:val="001C40DB"/>
    <w:rsid w:val="001C4323"/>
    <w:rsid w:val="001C4521"/>
    <w:rsid w:val="001C4688"/>
    <w:rsid w:val="001C4697"/>
    <w:rsid w:val="001C47B4"/>
    <w:rsid w:val="001C4B55"/>
    <w:rsid w:val="001C4CA6"/>
    <w:rsid w:val="001C5ED3"/>
    <w:rsid w:val="001C63D6"/>
    <w:rsid w:val="001C6ABC"/>
    <w:rsid w:val="001C6C41"/>
    <w:rsid w:val="001C6F72"/>
    <w:rsid w:val="001C70FB"/>
    <w:rsid w:val="001C7413"/>
    <w:rsid w:val="001C7654"/>
    <w:rsid w:val="001C7B93"/>
    <w:rsid w:val="001D018C"/>
    <w:rsid w:val="001D02F8"/>
    <w:rsid w:val="001D07C2"/>
    <w:rsid w:val="001D0A86"/>
    <w:rsid w:val="001D0F43"/>
    <w:rsid w:val="001D11EE"/>
    <w:rsid w:val="001D1C24"/>
    <w:rsid w:val="001D1CBC"/>
    <w:rsid w:val="001D1D56"/>
    <w:rsid w:val="001D2318"/>
    <w:rsid w:val="001D2551"/>
    <w:rsid w:val="001D256B"/>
    <w:rsid w:val="001D27EA"/>
    <w:rsid w:val="001D2990"/>
    <w:rsid w:val="001D3625"/>
    <w:rsid w:val="001D36B3"/>
    <w:rsid w:val="001D3A7A"/>
    <w:rsid w:val="001D3ADA"/>
    <w:rsid w:val="001D3BFE"/>
    <w:rsid w:val="001D3D24"/>
    <w:rsid w:val="001D3E60"/>
    <w:rsid w:val="001D42A8"/>
    <w:rsid w:val="001D437F"/>
    <w:rsid w:val="001D44AA"/>
    <w:rsid w:val="001D4AEA"/>
    <w:rsid w:val="001D4C26"/>
    <w:rsid w:val="001D4C35"/>
    <w:rsid w:val="001D4CF7"/>
    <w:rsid w:val="001D51FC"/>
    <w:rsid w:val="001D535D"/>
    <w:rsid w:val="001D5B26"/>
    <w:rsid w:val="001D5C61"/>
    <w:rsid w:val="001D5EEF"/>
    <w:rsid w:val="001D6275"/>
    <w:rsid w:val="001D6366"/>
    <w:rsid w:val="001D6460"/>
    <w:rsid w:val="001D64E8"/>
    <w:rsid w:val="001D6878"/>
    <w:rsid w:val="001D6A32"/>
    <w:rsid w:val="001D6A75"/>
    <w:rsid w:val="001D6DB7"/>
    <w:rsid w:val="001D74EC"/>
    <w:rsid w:val="001D7B32"/>
    <w:rsid w:val="001D7B36"/>
    <w:rsid w:val="001D7DD2"/>
    <w:rsid w:val="001E0056"/>
    <w:rsid w:val="001E0139"/>
    <w:rsid w:val="001E0254"/>
    <w:rsid w:val="001E0534"/>
    <w:rsid w:val="001E0AA8"/>
    <w:rsid w:val="001E0AE0"/>
    <w:rsid w:val="001E0E33"/>
    <w:rsid w:val="001E0F97"/>
    <w:rsid w:val="001E0FB8"/>
    <w:rsid w:val="001E0FE2"/>
    <w:rsid w:val="001E16E6"/>
    <w:rsid w:val="001E1881"/>
    <w:rsid w:val="001E1D63"/>
    <w:rsid w:val="001E1D8E"/>
    <w:rsid w:val="001E2742"/>
    <w:rsid w:val="001E29D0"/>
    <w:rsid w:val="001E30E6"/>
    <w:rsid w:val="001E313A"/>
    <w:rsid w:val="001E34DC"/>
    <w:rsid w:val="001E3FF9"/>
    <w:rsid w:val="001E4199"/>
    <w:rsid w:val="001E41DE"/>
    <w:rsid w:val="001E41ED"/>
    <w:rsid w:val="001E48B7"/>
    <w:rsid w:val="001E4931"/>
    <w:rsid w:val="001E5168"/>
    <w:rsid w:val="001E5211"/>
    <w:rsid w:val="001E5798"/>
    <w:rsid w:val="001E57EA"/>
    <w:rsid w:val="001E5847"/>
    <w:rsid w:val="001E5BC7"/>
    <w:rsid w:val="001E5C84"/>
    <w:rsid w:val="001E5EC7"/>
    <w:rsid w:val="001E6327"/>
    <w:rsid w:val="001E68A0"/>
    <w:rsid w:val="001E6C5C"/>
    <w:rsid w:val="001E7027"/>
    <w:rsid w:val="001E707B"/>
    <w:rsid w:val="001E74A2"/>
    <w:rsid w:val="001E7EB9"/>
    <w:rsid w:val="001F0464"/>
    <w:rsid w:val="001F065E"/>
    <w:rsid w:val="001F07C7"/>
    <w:rsid w:val="001F0AA7"/>
    <w:rsid w:val="001F0E9F"/>
    <w:rsid w:val="001F10BF"/>
    <w:rsid w:val="001F1302"/>
    <w:rsid w:val="001F1BC4"/>
    <w:rsid w:val="001F1C5D"/>
    <w:rsid w:val="001F1C97"/>
    <w:rsid w:val="001F3145"/>
    <w:rsid w:val="001F334A"/>
    <w:rsid w:val="001F36E0"/>
    <w:rsid w:val="001F378E"/>
    <w:rsid w:val="001F39C0"/>
    <w:rsid w:val="001F39CF"/>
    <w:rsid w:val="001F3F4C"/>
    <w:rsid w:val="001F5161"/>
    <w:rsid w:val="001F52E2"/>
    <w:rsid w:val="001F53EB"/>
    <w:rsid w:val="001F548C"/>
    <w:rsid w:val="001F54A4"/>
    <w:rsid w:val="001F59CA"/>
    <w:rsid w:val="001F5AAC"/>
    <w:rsid w:val="001F6975"/>
    <w:rsid w:val="001F6A4F"/>
    <w:rsid w:val="001F70F4"/>
    <w:rsid w:val="001F74C4"/>
    <w:rsid w:val="001F7570"/>
    <w:rsid w:val="001F774B"/>
    <w:rsid w:val="001F776A"/>
    <w:rsid w:val="002001CB"/>
    <w:rsid w:val="00200540"/>
    <w:rsid w:val="0020077B"/>
    <w:rsid w:val="00201B8D"/>
    <w:rsid w:val="00201DA3"/>
    <w:rsid w:val="00202359"/>
    <w:rsid w:val="00202E77"/>
    <w:rsid w:val="00202FF8"/>
    <w:rsid w:val="0020317F"/>
    <w:rsid w:val="002031D6"/>
    <w:rsid w:val="00203691"/>
    <w:rsid w:val="00203920"/>
    <w:rsid w:val="00203B1F"/>
    <w:rsid w:val="00203CD9"/>
    <w:rsid w:val="00203FF4"/>
    <w:rsid w:val="002040F6"/>
    <w:rsid w:val="00204223"/>
    <w:rsid w:val="0020457F"/>
    <w:rsid w:val="002047EE"/>
    <w:rsid w:val="002049B4"/>
    <w:rsid w:val="0020518E"/>
    <w:rsid w:val="00205355"/>
    <w:rsid w:val="00205528"/>
    <w:rsid w:val="0020561A"/>
    <w:rsid w:val="00205FAA"/>
    <w:rsid w:val="0020665E"/>
    <w:rsid w:val="002069E9"/>
    <w:rsid w:val="00206D6F"/>
    <w:rsid w:val="00206DE2"/>
    <w:rsid w:val="002070D4"/>
    <w:rsid w:val="002072E1"/>
    <w:rsid w:val="002074E6"/>
    <w:rsid w:val="002077B4"/>
    <w:rsid w:val="002078F7"/>
    <w:rsid w:val="00210819"/>
    <w:rsid w:val="00210FF5"/>
    <w:rsid w:val="002110D0"/>
    <w:rsid w:val="00211AAB"/>
    <w:rsid w:val="0021216C"/>
    <w:rsid w:val="00212532"/>
    <w:rsid w:val="00212843"/>
    <w:rsid w:val="00212CAB"/>
    <w:rsid w:val="00213CB0"/>
    <w:rsid w:val="002144F3"/>
    <w:rsid w:val="00214740"/>
    <w:rsid w:val="00214A4C"/>
    <w:rsid w:val="00214EE9"/>
    <w:rsid w:val="00214F70"/>
    <w:rsid w:val="002163C4"/>
    <w:rsid w:val="0021641F"/>
    <w:rsid w:val="00216799"/>
    <w:rsid w:val="002168E4"/>
    <w:rsid w:val="00216C1B"/>
    <w:rsid w:val="00216CC5"/>
    <w:rsid w:val="002172A6"/>
    <w:rsid w:val="0021742F"/>
    <w:rsid w:val="002174C8"/>
    <w:rsid w:val="00217A4C"/>
    <w:rsid w:val="00217AA0"/>
    <w:rsid w:val="00217B69"/>
    <w:rsid w:val="00217C01"/>
    <w:rsid w:val="00217E07"/>
    <w:rsid w:val="002201CA"/>
    <w:rsid w:val="0022045E"/>
    <w:rsid w:val="002205D2"/>
    <w:rsid w:val="00220872"/>
    <w:rsid w:val="00220A55"/>
    <w:rsid w:val="00221287"/>
    <w:rsid w:val="0022134A"/>
    <w:rsid w:val="00221724"/>
    <w:rsid w:val="00222045"/>
    <w:rsid w:val="002221B6"/>
    <w:rsid w:val="00222612"/>
    <w:rsid w:val="00222810"/>
    <w:rsid w:val="002228CF"/>
    <w:rsid w:val="00222A7F"/>
    <w:rsid w:val="00222ACD"/>
    <w:rsid w:val="00223172"/>
    <w:rsid w:val="00223672"/>
    <w:rsid w:val="00223729"/>
    <w:rsid w:val="002237CE"/>
    <w:rsid w:val="00223E2B"/>
    <w:rsid w:val="0022435C"/>
    <w:rsid w:val="00224683"/>
    <w:rsid w:val="002247C6"/>
    <w:rsid w:val="00224998"/>
    <w:rsid w:val="00224ED0"/>
    <w:rsid w:val="0022509B"/>
    <w:rsid w:val="0022509F"/>
    <w:rsid w:val="002254E1"/>
    <w:rsid w:val="0022595C"/>
    <w:rsid w:val="00225B1A"/>
    <w:rsid w:val="002260E3"/>
    <w:rsid w:val="0022615F"/>
    <w:rsid w:val="002268E1"/>
    <w:rsid w:val="00226A5B"/>
    <w:rsid w:val="00226EB4"/>
    <w:rsid w:val="002275B3"/>
    <w:rsid w:val="002279B5"/>
    <w:rsid w:val="00227A48"/>
    <w:rsid w:val="00227C29"/>
    <w:rsid w:val="002305FB"/>
    <w:rsid w:val="002307C6"/>
    <w:rsid w:val="00230825"/>
    <w:rsid w:val="002308E4"/>
    <w:rsid w:val="00230D74"/>
    <w:rsid w:val="002312D6"/>
    <w:rsid w:val="0023130D"/>
    <w:rsid w:val="00231C57"/>
    <w:rsid w:val="002325BE"/>
    <w:rsid w:val="00232621"/>
    <w:rsid w:val="00232B65"/>
    <w:rsid w:val="00232F2E"/>
    <w:rsid w:val="00233056"/>
    <w:rsid w:val="002337D0"/>
    <w:rsid w:val="002337E9"/>
    <w:rsid w:val="00233A02"/>
    <w:rsid w:val="00233FC4"/>
    <w:rsid w:val="0023436E"/>
    <w:rsid w:val="0023446C"/>
    <w:rsid w:val="00234491"/>
    <w:rsid w:val="00234829"/>
    <w:rsid w:val="002349C4"/>
    <w:rsid w:val="00234A55"/>
    <w:rsid w:val="00234C0F"/>
    <w:rsid w:val="00234D65"/>
    <w:rsid w:val="00234E30"/>
    <w:rsid w:val="0023579B"/>
    <w:rsid w:val="00235A50"/>
    <w:rsid w:val="00235B35"/>
    <w:rsid w:val="00235DAF"/>
    <w:rsid w:val="002364C1"/>
    <w:rsid w:val="00236555"/>
    <w:rsid w:val="0023655E"/>
    <w:rsid w:val="0023679E"/>
    <w:rsid w:val="00236A1A"/>
    <w:rsid w:val="00236C54"/>
    <w:rsid w:val="00236CAB"/>
    <w:rsid w:val="0023751E"/>
    <w:rsid w:val="00237ADB"/>
    <w:rsid w:val="002400B0"/>
    <w:rsid w:val="0024013B"/>
    <w:rsid w:val="002403FB"/>
    <w:rsid w:val="002408FE"/>
    <w:rsid w:val="00240DE1"/>
    <w:rsid w:val="00240EE3"/>
    <w:rsid w:val="00240FD7"/>
    <w:rsid w:val="002411A5"/>
    <w:rsid w:val="002415E3"/>
    <w:rsid w:val="002419CA"/>
    <w:rsid w:val="00241CA7"/>
    <w:rsid w:val="002421C9"/>
    <w:rsid w:val="00242A4A"/>
    <w:rsid w:val="002433AB"/>
    <w:rsid w:val="00243953"/>
    <w:rsid w:val="00243BE8"/>
    <w:rsid w:val="00243FEF"/>
    <w:rsid w:val="002441D2"/>
    <w:rsid w:val="002442E8"/>
    <w:rsid w:val="0024433F"/>
    <w:rsid w:val="002443F1"/>
    <w:rsid w:val="0024458C"/>
    <w:rsid w:val="0024470F"/>
    <w:rsid w:val="00244F15"/>
    <w:rsid w:val="00244F61"/>
    <w:rsid w:val="0024505F"/>
    <w:rsid w:val="00245213"/>
    <w:rsid w:val="00245370"/>
    <w:rsid w:val="0024560E"/>
    <w:rsid w:val="0024587E"/>
    <w:rsid w:val="002458E7"/>
    <w:rsid w:val="00245A0D"/>
    <w:rsid w:val="00245AA0"/>
    <w:rsid w:val="00245DC4"/>
    <w:rsid w:val="00245EC2"/>
    <w:rsid w:val="002461AC"/>
    <w:rsid w:val="00246385"/>
    <w:rsid w:val="0024644E"/>
    <w:rsid w:val="002464E7"/>
    <w:rsid w:val="002470FC"/>
    <w:rsid w:val="00247202"/>
    <w:rsid w:val="002472DC"/>
    <w:rsid w:val="00247920"/>
    <w:rsid w:val="00247EE2"/>
    <w:rsid w:val="002501DC"/>
    <w:rsid w:val="00250438"/>
    <w:rsid w:val="0025054D"/>
    <w:rsid w:val="00250C33"/>
    <w:rsid w:val="00250E42"/>
    <w:rsid w:val="00250ECE"/>
    <w:rsid w:val="002517C4"/>
    <w:rsid w:val="00252608"/>
    <w:rsid w:val="00252A12"/>
    <w:rsid w:val="00252A89"/>
    <w:rsid w:val="00253065"/>
    <w:rsid w:val="00253432"/>
    <w:rsid w:val="00253866"/>
    <w:rsid w:val="00253977"/>
    <w:rsid w:val="00253E4D"/>
    <w:rsid w:val="00253E5C"/>
    <w:rsid w:val="002540CC"/>
    <w:rsid w:val="0025446A"/>
    <w:rsid w:val="00254550"/>
    <w:rsid w:val="0025499F"/>
    <w:rsid w:val="00254E24"/>
    <w:rsid w:val="002551EC"/>
    <w:rsid w:val="002558C3"/>
    <w:rsid w:val="00255C37"/>
    <w:rsid w:val="002567A8"/>
    <w:rsid w:val="0025688C"/>
    <w:rsid w:val="00256A18"/>
    <w:rsid w:val="00256CE2"/>
    <w:rsid w:val="00256D6E"/>
    <w:rsid w:val="00256F9E"/>
    <w:rsid w:val="00256FEF"/>
    <w:rsid w:val="00257504"/>
    <w:rsid w:val="00257A89"/>
    <w:rsid w:val="00257E45"/>
    <w:rsid w:val="002600FC"/>
    <w:rsid w:val="002603CF"/>
    <w:rsid w:val="0026051D"/>
    <w:rsid w:val="00260953"/>
    <w:rsid w:val="00260CF9"/>
    <w:rsid w:val="00260F73"/>
    <w:rsid w:val="002610F9"/>
    <w:rsid w:val="00261233"/>
    <w:rsid w:val="002613CF"/>
    <w:rsid w:val="00261A21"/>
    <w:rsid w:val="00261B33"/>
    <w:rsid w:val="00261E65"/>
    <w:rsid w:val="00261F22"/>
    <w:rsid w:val="00262857"/>
    <w:rsid w:val="00262CC4"/>
    <w:rsid w:val="00262D7F"/>
    <w:rsid w:val="00262DFC"/>
    <w:rsid w:val="00262FAD"/>
    <w:rsid w:val="002631A6"/>
    <w:rsid w:val="00263699"/>
    <w:rsid w:val="00263DF3"/>
    <w:rsid w:val="00263E60"/>
    <w:rsid w:val="00264202"/>
    <w:rsid w:val="002645A1"/>
    <w:rsid w:val="002646A3"/>
    <w:rsid w:val="00264DBA"/>
    <w:rsid w:val="00264F43"/>
    <w:rsid w:val="002651CC"/>
    <w:rsid w:val="00265629"/>
    <w:rsid w:val="00265A90"/>
    <w:rsid w:val="00266259"/>
    <w:rsid w:val="0026628D"/>
    <w:rsid w:val="00266392"/>
    <w:rsid w:val="00266514"/>
    <w:rsid w:val="0026683E"/>
    <w:rsid w:val="00266886"/>
    <w:rsid w:val="002669DF"/>
    <w:rsid w:val="00266BC4"/>
    <w:rsid w:val="002673E9"/>
    <w:rsid w:val="00267847"/>
    <w:rsid w:val="00267A57"/>
    <w:rsid w:val="00267FBA"/>
    <w:rsid w:val="00270468"/>
    <w:rsid w:val="00270601"/>
    <w:rsid w:val="002708AE"/>
    <w:rsid w:val="00270DE1"/>
    <w:rsid w:val="002710DD"/>
    <w:rsid w:val="00271615"/>
    <w:rsid w:val="0027166D"/>
    <w:rsid w:val="0027167D"/>
    <w:rsid w:val="00271B3A"/>
    <w:rsid w:val="00271F6F"/>
    <w:rsid w:val="0027200B"/>
    <w:rsid w:val="00272BEE"/>
    <w:rsid w:val="00272CF3"/>
    <w:rsid w:val="00272D50"/>
    <w:rsid w:val="00272E43"/>
    <w:rsid w:val="00273081"/>
    <w:rsid w:val="00273D76"/>
    <w:rsid w:val="002745E6"/>
    <w:rsid w:val="00274832"/>
    <w:rsid w:val="00274908"/>
    <w:rsid w:val="00274AB5"/>
    <w:rsid w:val="00274AE9"/>
    <w:rsid w:val="002752FC"/>
    <w:rsid w:val="0027559C"/>
    <w:rsid w:val="002755F7"/>
    <w:rsid w:val="00275A24"/>
    <w:rsid w:val="00275C09"/>
    <w:rsid w:val="00275D1C"/>
    <w:rsid w:val="00275FB3"/>
    <w:rsid w:val="00276182"/>
    <w:rsid w:val="00276524"/>
    <w:rsid w:val="0027691A"/>
    <w:rsid w:val="00276BB9"/>
    <w:rsid w:val="00276E0F"/>
    <w:rsid w:val="00276F9C"/>
    <w:rsid w:val="00277227"/>
    <w:rsid w:val="00277365"/>
    <w:rsid w:val="002776F3"/>
    <w:rsid w:val="002777EA"/>
    <w:rsid w:val="00277840"/>
    <w:rsid w:val="002779FD"/>
    <w:rsid w:val="00277AC8"/>
    <w:rsid w:val="00277B2B"/>
    <w:rsid w:val="00277BF2"/>
    <w:rsid w:val="00277E39"/>
    <w:rsid w:val="00277EB2"/>
    <w:rsid w:val="00277FE5"/>
    <w:rsid w:val="002807E8"/>
    <w:rsid w:val="00280818"/>
    <w:rsid w:val="00280951"/>
    <w:rsid w:val="00280CEF"/>
    <w:rsid w:val="00280F80"/>
    <w:rsid w:val="0028165A"/>
    <w:rsid w:val="002823D4"/>
    <w:rsid w:val="00282685"/>
    <w:rsid w:val="002826C5"/>
    <w:rsid w:val="00282A09"/>
    <w:rsid w:val="00282A34"/>
    <w:rsid w:val="00282D2F"/>
    <w:rsid w:val="002833F9"/>
    <w:rsid w:val="00283648"/>
    <w:rsid w:val="00283953"/>
    <w:rsid w:val="00283BDB"/>
    <w:rsid w:val="00283D03"/>
    <w:rsid w:val="00284136"/>
    <w:rsid w:val="002841EF"/>
    <w:rsid w:val="0028420B"/>
    <w:rsid w:val="00284959"/>
    <w:rsid w:val="00285E7F"/>
    <w:rsid w:val="00285F78"/>
    <w:rsid w:val="0028653A"/>
    <w:rsid w:val="002865B7"/>
    <w:rsid w:val="002866E1"/>
    <w:rsid w:val="002866EE"/>
    <w:rsid w:val="0028679C"/>
    <w:rsid w:val="002868FF"/>
    <w:rsid w:val="00286E7D"/>
    <w:rsid w:val="00287154"/>
    <w:rsid w:val="00287189"/>
    <w:rsid w:val="00287255"/>
    <w:rsid w:val="002872C0"/>
    <w:rsid w:val="002876CD"/>
    <w:rsid w:val="00287BE4"/>
    <w:rsid w:val="00287E03"/>
    <w:rsid w:val="00290267"/>
    <w:rsid w:val="00290437"/>
    <w:rsid w:val="0029099D"/>
    <w:rsid w:val="00291B2C"/>
    <w:rsid w:val="00291ECD"/>
    <w:rsid w:val="00291F7E"/>
    <w:rsid w:val="002921D9"/>
    <w:rsid w:val="00292780"/>
    <w:rsid w:val="0029295C"/>
    <w:rsid w:val="00292C4E"/>
    <w:rsid w:val="00292D6A"/>
    <w:rsid w:val="00292F72"/>
    <w:rsid w:val="0029353B"/>
    <w:rsid w:val="00293575"/>
    <w:rsid w:val="00293D2F"/>
    <w:rsid w:val="00293F70"/>
    <w:rsid w:val="00294278"/>
    <w:rsid w:val="002947D1"/>
    <w:rsid w:val="00294928"/>
    <w:rsid w:val="0029493A"/>
    <w:rsid w:val="00294C88"/>
    <w:rsid w:val="00294CC9"/>
    <w:rsid w:val="00295216"/>
    <w:rsid w:val="002953E4"/>
    <w:rsid w:val="0029562E"/>
    <w:rsid w:val="002956FE"/>
    <w:rsid w:val="00296059"/>
    <w:rsid w:val="0029605E"/>
    <w:rsid w:val="002961A6"/>
    <w:rsid w:val="0029628B"/>
    <w:rsid w:val="00296A49"/>
    <w:rsid w:val="00296BCB"/>
    <w:rsid w:val="00296CD3"/>
    <w:rsid w:val="00297168"/>
    <w:rsid w:val="002972E0"/>
    <w:rsid w:val="00297740"/>
    <w:rsid w:val="002978B2"/>
    <w:rsid w:val="00297D28"/>
    <w:rsid w:val="00297F04"/>
    <w:rsid w:val="002A03FB"/>
    <w:rsid w:val="002A0692"/>
    <w:rsid w:val="002A1052"/>
    <w:rsid w:val="002A10A0"/>
    <w:rsid w:val="002A1685"/>
    <w:rsid w:val="002A17A7"/>
    <w:rsid w:val="002A2192"/>
    <w:rsid w:val="002A2759"/>
    <w:rsid w:val="002A276E"/>
    <w:rsid w:val="002A2F23"/>
    <w:rsid w:val="002A32DA"/>
    <w:rsid w:val="002A430A"/>
    <w:rsid w:val="002A448D"/>
    <w:rsid w:val="002A44D3"/>
    <w:rsid w:val="002A498A"/>
    <w:rsid w:val="002A4CD6"/>
    <w:rsid w:val="002A4CEF"/>
    <w:rsid w:val="002A50F5"/>
    <w:rsid w:val="002A54D6"/>
    <w:rsid w:val="002A5580"/>
    <w:rsid w:val="002A5AE2"/>
    <w:rsid w:val="002A61D2"/>
    <w:rsid w:val="002A6E85"/>
    <w:rsid w:val="002A70BE"/>
    <w:rsid w:val="002A7BCB"/>
    <w:rsid w:val="002A7E4C"/>
    <w:rsid w:val="002B0388"/>
    <w:rsid w:val="002B04F5"/>
    <w:rsid w:val="002B1332"/>
    <w:rsid w:val="002B15E5"/>
    <w:rsid w:val="002B1791"/>
    <w:rsid w:val="002B17CE"/>
    <w:rsid w:val="002B1ACC"/>
    <w:rsid w:val="002B1FF2"/>
    <w:rsid w:val="002B2329"/>
    <w:rsid w:val="002B2B75"/>
    <w:rsid w:val="002B2D5B"/>
    <w:rsid w:val="002B2E6A"/>
    <w:rsid w:val="002B2F6E"/>
    <w:rsid w:val="002B306F"/>
    <w:rsid w:val="002B30C0"/>
    <w:rsid w:val="002B3233"/>
    <w:rsid w:val="002B3CF9"/>
    <w:rsid w:val="002B3E8A"/>
    <w:rsid w:val="002B43F5"/>
    <w:rsid w:val="002B4DF7"/>
    <w:rsid w:val="002B524B"/>
    <w:rsid w:val="002B536B"/>
    <w:rsid w:val="002B5409"/>
    <w:rsid w:val="002B55D9"/>
    <w:rsid w:val="002B57AB"/>
    <w:rsid w:val="002B5951"/>
    <w:rsid w:val="002B5D15"/>
    <w:rsid w:val="002B6646"/>
    <w:rsid w:val="002B67BC"/>
    <w:rsid w:val="002B6948"/>
    <w:rsid w:val="002B6BEB"/>
    <w:rsid w:val="002B6EA6"/>
    <w:rsid w:val="002B7108"/>
    <w:rsid w:val="002B7F5C"/>
    <w:rsid w:val="002C037D"/>
    <w:rsid w:val="002C03AE"/>
    <w:rsid w:val="002C03D2"/>
    <w:rsid w:val="002C0467"/>
    <w:rsid w:val="002C06AA"/>
    <w:rsid w:val="002C086E"/>
    <w:rsid w:val="002C0AA0"/>
    <w:rsid w:val="002C10C1"/>
    <w:rsid w:val="002C12E6"/>
    <w:rsid w:val="002C1552"/>
    <w:rsid w:val="002C1F3A"/>
    <w:rsid w:val="002C2186"/>
    <w:rsid w:val="002C21AF"/>
    <w:rsid w:val="002C2283"/>
    <w:rsid w:val="002C2ADA"/>
    <w:rsid w:val="002C2BF4"/>
    <w:rsid w:val="002C2E2A"/>
    <w:rsid w:val="002C3035"/>
    <w:rsid w:val="002C362D"/>
    <w:rsid w:val="002C41B1"/>
    <w:rsid w:val="002C4B6E"/>
    <w:rsid w:val="002C4C8B"/>
    <w:rsid w:val="002C4F62"/>
    <w:rsid w:val="002C52C5"/>
    <w:rsid w:val="002C5EB0"/>
    <w:rsid w:val="002C6576"/>
    <w:rsid w:val="002C658F"/>
    <w:rsid w:val="002C7DE1"/>
    <w:rsid w:val="002C7E0D"/>
    <w:rsid w:val="002C7FF1"/>
    <w:rsid w:val="002D0590"/>
    <w:rsid w:val="002D0D8C"/>
    <w:rsid w:val="002D0EDF"/>
    <w:rsid w:val="002D1240"/>
    <w:rsid w:val="002D14D6"/>
    <w:rsid w:val="002D1E5F"/>
    <w:rsid w:val="002D2089"/>
    <w:rsid w:val="002D26DD"/>
    <w:rsid w:val="002D299C"/>
    <w:rsid w:val="002D2D2D"/>
    <w:rsid w:val="002D2F22"/>
    <w:rsid w:val="002D3372"/>
    <w:rsid w:val="002D33CB"/>
    <w:rsid w:val="002D340B"/>
    <w:rsid w:val="002D346C"/>
    <w:rsid w:val="002D34EC"/>
    <w:rsid w:val="002D36FD"/>
    <w:rsid w:val="002D3D1A"/>
    <w:rsid w:val="002D3E1A"/>
    <w:rsid w:val="002D4018"/>
    <w:rsid w:val="002D41C5"/>
    <w:rsid w:val="002D4470"/>
    <w:rsid w:val="002D4B78"/>
    <w:rsid w:val="002D4E98"/>
    <w:rsid w:val="002D520C"/>
    <w:rsid w:val="002D527A"/>
    <w:rsid w:val="002D5395"/>
    <w:rsid w:val="002D53AD"/>
    <w:rsid w:val="002D54D4"/>
    <w:rsid w:val="002D57A0"/>
    <w:rsid w:val="002D5DD1"/>
    <w:rsid w:val="002D6032"/>
    <w:rsid w:val="002D60BA"/>
    <w:rsid w:val="002D6568"/>
    <w:rsid w:val="002D6A94"/>
    <w:rsid w:val="002D6C24"/>
    <w:rsid w:val="002D6D48"/>
    <w:rsid w:val="002D7751"/>
    <w:rsid w:val="002D7904"/>
    <w:rsid w:val="002E00BA"/>
    <w:rsid w:val="002E03FB"/>
    <w:rsid w:val="002E0997"/>
    <w:rsid w:val="002E0AD9"/>
    <w:rsid w:val="002E0BB4"/>
    <w:rsid w:val="002E1192"/>
    <w:rsid w:val="002E11E1"/>
    <w:rsid w:val="002E13E4"/>
    <w:rsid w:val="002E15F6"/>
    <w:rsid w:val="002E167F"/>
    <w:rsid w:val="002E2509"/>
    <w:rsid w:val="002E2A02"/>
    <w:rsid w:val="002E2A3D"/>
    <w:rsid w:val="002E2AB6"/>
    <w:rsid w:val="002E2D06"/>
    <w:rsid w:val="002E2FC6"/>
    <w:rsid w:val="002E3438"/>
    <w:rsid w:val="002E34FB"/>
    <w:rsid w:val="002E35B5"/>
    <w:rsid w:val="002E3880"/>
    <w:rsid w:val="002E3D28"/>
    <w:rsid w:val="002E4132"/>
    <w:rsid w:val="002E414B"/>
    <w:rsid w:val="002E4156"/>
    <w:rsid w:val="002E471A"/>
    <w:rsid w:val="002E474F"/>
    <w:rsid w:val="002E4C91"/>
    <w:rsid w:val="002E4E27"/>
    <w:rsid w:val="002E4FAE"/>
    <w:rsid w:val="002E503C"/>
    <w:rsid w:val="002E5553"/>
    <w:rsid w:val="002E563A"/>
    <w:rsid w:val="002E57E5"/>
    <w:rsid w:val="002E597A"/>
    <w:rsid w:val="002E610F"/>
    <w:rsid w:val="002E667D"/>
    <w:rsid w:val="002E6793"/>
    <w:rsid w:val="002E6C6C"/>
    <w:rsid w:val="002E71EF"/>
    <w:rsid w:val="002E7491"/>
    <w:rsid w:val="002E7D69"/>
    <w:rsid w:val="002F003B"/>
    <w:rsid w:val="002F018D"/>
    <w:rsid w:val="002F05E0"/>
    <w:rsid w:val="002F06F6"/>
    <w:rsid w:val="002F087E"/>
    <w:rsid w:val="002F0891"/>
    <w:rsid w:val="002F0AEA"/>
    <w:rsid w:val="002F0DEB"/>
    <w:rsid w:val="002F120E"/>
    <w:rsid w:val="002F12BE"/>
    <w:rsid w:val="002F165E"/>
    <w:rsid w:val="002F19B5"/>
    <w:rsid w:val="002F1A5C"/>
    <w:rsid w:val="002F1C14"/>
    <w:rsid w:val="002F1CDB"/>
    <w:rsid w:val="002F2543"/>
    <w:rsid w:val="002F263A"/>
    <w:rsid w:val="002F288A"/>
    <w:rsid w:val="002F2A61"/>
    <w:rsid w:val="002F2C60"/>
    <w:rsid w:val="002F30B9"/>
    <w:rsid w:val="002F3553"/>
    <w:rsid w:val="002F35EB"/>
    <w:rsid w:val="002F3A7E"/>
    <w:rsid w:val="002F3C85"/>
    <w:rsid w:val="002F3D7B"/>
    <w:rsid w:val="002F3E50"/>
    <w:rsid w:val="002F4203"/>
    <w:rsid w:val="002F480B"/>
    <w:rsid w:val="002F4C87"/>
    <w:rsid w:val="002F5239"/>
    <w:rsid w:val="002F5A07"/>
    <w:rsid w:val="002F5CA3"/>
    <w:rsid w:val="002F6848"/>
    <w:rsid w:val="002F6E9F"/>
    <w:rsid w:val="002F6FC8"/>
    <w:rsid w:val="002F7254"/>
    <w:rsid w:val="002F728C"/>
    <w:rsid w:val="002F75C8"/>
    <w:rsid w:val="002F77EC"/>
    <w:rsid w:val="002F783C"/>
    <w:rsid w:val="002F787F"/>
    <w:rsid w:val="002F7A0B"/>
    <w:rsid w:val="002F7BBB"/>
    <w:rsid w:val="00300105"/>
    <w:rsid w:val="00300554"/>
    <w:rsid w:val="003005CA"/>
    <w:rsid w:val="0030069C"/>
    <w:rsid w:val="00300774"/>
    <w:rsid w:val="003009B8"/>
    <w:rsid w:val="00300D41"/>
    <w:rsid w:val="003012E0"/>
    <w:rsid w:val="00301360"/>
    <w:rsid w:val="003015EB"/>
    <w:rsid w:val="003019D0"/>
    <w:rsid w:val="00301A32"/>
    <w:rsid w:val="00301AD0"/>
    <w:rsid w:val="00301E62"/>
    <w:rsid w:val="00302111"/>
    <w:rsid w:val="003021A4"/>
    <w:rsid w:val="0030254F"/>
    <w:rsid w:val="0030267C"/>
    <w:rsid w:val="00302A73"/>
    <w:rsid w:val="00302A93"/>
    <w:rsid w:val="00302BF5"/>
    <w:rsid w:val="00302D84"/>
    <w:rsid w:val="0030341E"/>
    <w:rsid w:val="00303644"/>
    <w:rsid w:val="00303930"/>
    <w:rsid w:val="00303BB3"/>
    <w:rsid w:val="0030403E"/>
    <w:rsid w:val="00304145"/>
    <w:rsid w:val="00304B9C"/>
    <w:rsid w:val="00304F60"/>
    <w:rsid w:val="00304F9C"/>
    <w:rsid w:val="00304FE9"/>
    <w:rsid w:val="00305445"/>
    <w:rsid w:val="00306470"/>
    <w:rsid w:val="0030717F"/>
    <w:rsid w:val="0030723F"/>
    <w:rsid w:val="00307437"/>
    <w:rsid w:val="003077A3"/>
    <w:rsid w:val="00307CCB"/>
    <w:rsid w:val="00307E1C"/>
    <w:rsid w:val="003104D1"/>
    <w:rsid w:val="00310A83"/>
    <w:rsid w:val="00310F96"/>
    <w:rsid w:val="003110BA"/>
    <w:rsid w:val="00311229"/>
    <w:rsid w:val="003113BD"/>
    <w:rsid w:val="0031142B"/>
    <w:rsid w:val="0031146D"/>
    <w:rsid w:val="003118DC"/>
    <w:rsid w:val="00311BEE"/>
    <w:rsid w:val="00311EFC"/>
    <w:rsid w:val="00312072"/>
    <w:rsid w:val="0031243B"/>
    <w:rsid w:val="0031249B"/>
    <w:rsid w:val="00312D52"/>
    <w:rsid w:val="00312DB7"/>
    <w:rsid w:val="00313045"/>
    <w:rsid w:val="00313589"/>
    <w:rsid w:val="00313DAE"/>
    <w:rsid w:val="0031425A"/>
    <w:rsid w:val="0031460B"/>
    <w:rsid w:val="00314A92"/>
    <w:rsid w:val="00314CDA"/>
    <w:rsid w:val="00314DC3"/>
    <w:rsid w:val="003150B9"/>
    <w:rsid w:val="00315354"/>
    <w:rsid w:val="00315411"/>
    <w:rsid w:val="00315463"/>
    <w:rsid w:val="0031557D"/>
    <w:rsid w:val="00315E13"/>
    <w:rsid w:val="00315EAE"/>
    <w:rsid w:val="00315ED7"/>
    <w:rsid w:val="003163FB"/>
    <w:rsid w:val="00316666"/>
    <w:rsid w:val="00316701"/>
    <w:rsid w:val="00316764"/>
    <w:rsid w:val="00316AA0"/>
    <w:rsid w:val="00316DA5"/>
    <w:rsid w:val="00316E12"/>
    <w:rsid w:val="00317370"/>
    <w:rsid w:val="003174EF"/>
    <w:rsid w:val="003176F3"/>
    <w:rsid w:val="00317CA7"/>
    <w:rsid w:val="00317ECE"/>
    <w:rsid w:val="003203F9"/>
    <w:rsid w:val="00320648"/>
    <w:rsid w:val="00320873"/>
    <w:rsid w:val="0032088B"/>
    <w:rsid w:val="003208B7"/>
    <w:rsid w:val="00321654"/>
    <w:rsid w:val="00322702"/>
    <w:rsid w:val="00322916"/>
    <w:rsid w:val="003229E8"/>
    <w:rsid w:val="00322DFD"/>
    <w:rsid w:val="00323195"/>
    <w:rsid w:val="00323228"/>
    <w:rsid w:val="00323288"/>
    <w:rsid w:val="0032378D"/>
    <w:rsid w:val="00323A3E"/>
    <w:rsid w:val="00323AAC"/>
    <w:rsid w:val="00324960"/>
    <w:rsid w:val="00324CDC"/>
    <w:rsid w:val="00324ED6"/>
    <w:rsid w:val="00325611"/>
    <w:rsid w:val="00326210"/>
    <w:rsid w:val="00326437"/>
    <w:rsid w:val="003268B6"/>
    <w:rsid w:val="003268D2"/>
    <w:rsid w:val="00326A05"/>
    <w:rsid w:val="003272EB"/>
    <w:rsid w:val="003279D2"/>
    <w:rsid w:val="00327FBD"/>
    <w:rsid w:val="003301CB"/>
    <w:rsid w:val="003314C3"/>
    <w:rsid w:val="00331A03"/>
    <w:rsid w:val="00331C4E"/>
    <w:rsid w:val="00331D41"/>
    <w:rsid w:val="00331D87"/>
    <w:rsid w:val="00331F57"/>
    <w:rsid w:val="00332383"/>
    <w:rsid w:val="003323EB"/>
    <w:rsid w:val="00332B51"/>
    <w:rsid w:val="00332CEE"/>
    <w:rsid w:val="003343CF"/>
    <w:rsid w:val="003345D0"/>
    <w:rsid w:val="003346BD"/>
    <w:rsid w:val="003346C9"/>
    <w:rsid w:val="00334842"/>
    <w:rsid w:val="0033492B"/>
    <w:rsid w:val="00334B4C"/>
    <w:rsid w:val="00334C3C"/>
    <w:rsid w:val="00334C62"/>
    <w:rsid w:val="00334F0F"/>
    <w:rsid w:val="00334F27"/>
    <w:rsid w:val="00334FF1"/>
    <w:rsid w:val="00335786"/>
    <w:rsid w:val="00335C1F"/>
    <w:rsid w:val="00335C37"/>
    <w:rsid w:val="00335DD8"/>
    <w:rsid w:val="00335E22"/>
    <w:rsid w:val="00335FA8"/>
    <w:rsid w:val="003362D5"/>
    <w:rsid w:val="003365C9"/>
    <w:rsid w:val="00336973"/>
    <w:rsid w:val="00336FE1"/>
    <w:rsid w:val="00337198"/>
    <w:rsid w:val="00337316"/>
    <w:rsid w:val="00337494"/>
    <w:rsid w:val="003376B0"/>
    <w:rsid w:val="003378FA"/>
    <w:rsid w:val="00337DAF"/>
    <w:rsid w:val="00337E1A"/>
    <w:rsid w:val="00340090"/>
    <w:rsid w:val="00340394"/>
    <w:rsid w:val="00340AFB"/>
    <w:rsid w:val="00340B0D"/>
    <w:rsid w:val="00340ECA"/>
    <w:rsid w:val="003410A4"/>
    <w:rsid w:val="00341261"/>
    <w:rsid w:val="003414ED"/>
    <w:rsid w:val="003419D3"/>
    <w:rsid w:val="00341B6E"/>
    <w:rsid w:val="00341E73"/>
    <w:rsid w:val="003422C7"/>
    <w:rsid w:val="003423C5"/>
    <w:rsid w:val="003426A8"/>
    <w:rsid w:val="003426F6"/>
    <w:rsid w:val="00342AD4"/>
    <w:rsid w:val="00342EE4"/>
    <w:rsid w:val="00343E12"/>
    <w:rsid w:val="0034416B"/>
    <w:rsid w:val="00344478"/>
    <w:rsid w:val="00344733"/>
    <w:rsid w:val="00344A4A"/>
    <w:rsid w:val="00345063"/>
    <w:rsid w:val="00345105"/>
    <w:rsid w:val="0034541D"/>
    <w:rsid w:val="00345658"/>
    <w:rsid w:val="0034587F"/>
    <w:rsid w:val="003458B6"/>
    <w:rsid w:val="003459A5"/>
    <w:rsid w:val="00345C8D"/>
    <w:rsid w:val="00345E19"/>
    <w:rsid w:val="003461B2"/>
    <w:rsid w:val="003461EB"/>
    <w:rsid w:val="00346529"/>
    <w:rsid w:val="0034693B"/>
    <w:rsid w:val="00346A9F"/>
    <w:rsid w:val="00346E70"/>
    <w:rsid w:val="00346E8B"/>
    <w:rsid w:val="00346FAD"/>
    <w:rsid w:val="003473F2"/>
    <w:rsid w:val="00347663"/>
    <w:rsid w:val="0035056C"/>
    <w:rsid w:val="003508A8"/>
    <w:rsid w:val="00350B86"/>
    <w:rsid w:val="0035129C"/>
    <w:rsid w:val="003515A0"/>
    <w:rsid w:val="00351CCC"/>
    <w:rsid w:val="00352011"/>
    <w:rsid w:val="003525B7"/>
    <w:rsid w:val="00352833"/>
    <w:rsid w:val="0035292F"/>
    <w:rsid w:val="00352A9E"/>
    <w:rsid w:val="00353010"/>
    <w:rsid w:val="003536FA"/>
    <w:rsid w:val="0035453E"/>
    <w:rsid w:val="003546F9"/>
    <w:rsid w:val="00354F52"/>
    <w:rsid w:val="00355099"/>
    <w:rsid w:val="003552B2"/>
    <w:rsid w:val="00355B08"/>
    <w:rsid w:val="00355B34"/>
    <w:rsid w:val="00355D6D"/>
    <w:rsid w:val="00355DC3"/>
    <w:rsid w:val="00355EC5"/>
    <w:rsid w:val="00356462"/>
    <w:rsid w:val="003564A5"/>
    <w:rsid w:val="003568A7"/>
    <w:rsid w:val="00356C10"/>
    <w:rsid w:val="003573FC"/>
    <w:rsid w:val="00357529"/>
    <w:rsid w:val="00357945"/>
    <w:rsid w:val="00357B03"/>
    <w:rsid w:val="00357E18"/>
    <w:rsid w:val="003601DD"/>
    <w:rsid w:val="00360370"/>
    <w:rsid w:val="0036043E"/>
    <w:rsid w:val="0036047A"/>
    <w:rsid w:val="00360970"/>
    <w:rsid w:val="00360E3F"/>
    <w:rsid w:val="00360E70"/>
    <w:rsid w:val="00360FD0"/>
    <w:rsid w:val="00361DE5"/>
    <w:rsid w:val="00361E19"/>
    <w:rsid w:val="00362100"/>
    <w:rsid w:val="003622A1"/>
    <w:rsid w:val="003624C1"/>
    <w:rsid w:val="003624D3"/>
    <w:rsid w:val="0036250F"/>
    <w:rsid w:val="00362B3B"/>
    <w:rsid w:val="00362CC6"/>
    <w:rsid w:val="00362D2C"/>
    <w:rsid w:val="00362EC2"/>
    <w:rsid w:val="003634BC"/>
    <w:rsid w:val="003634EF"/>
    <w:rsid w:val="00364103"/>
    <w:rsid w:val="00364B54"/>
    <w:rsid w:val="00364BAF"/>
    <w:rsid w:val="00364C82"/>
    <w:rsid w:val="003650F3"/>
    <w:rsid w:val="00365391"/>
    <w:rsid w:val="0036540A"/>
    <w:rsid w:val="0036547A"/>
    <w:rsid w:val="00365702"/>
    <w:rsid w:val="003658B7"/>
    <w:rsid w:val="003659CD"/>
    <w:rsid w:val="00365A9C"/>
    <w:rsid w:val="003660E1"/>
    <w:rsid w:val="00366A01"/>
    <w:rsid w:val="00366F79"/>
    <w:rsid w:val="0036726F"/>
    <w:rsid w:val="00367362"/>
    <w:rsid w:val="003676F3"/>
    <w:rsid w:val="0036791C"/>
    <w:rsid w:val="00367ECE"/>
    <w:rsid w:val="003704B6"/>
    <w:rsid w:val="003706A0"/>
    <w:rsid w:val="0037072E"/>
    <w:rsid w:val="003707E8"/>
    <w:rsid w:val="00370F47"/>
    <w:rsid w:val="00371670"/>
    <w:rsid w:val="0037180A"/>
    <w:rsid w:val="00371F26"/>
    <w:rsid w:val="00371FF3"/>
    <w:rsid w:val="003721AE"/>
    <w:rsid w:val="003723D4"/>
    <w:rsid w:val="00372E3A"/>
    <w:rsid w:val="00373137"/>
    <w:rsid w:val="00373540"/>
    <w:rsid w:val="00373625"/>
    <w:rsid w:val="00373941"/>
    <w:rsid w:val="00373B66"/>
    <w:rsid w:val="00373CEC"/>
    <w:rsid w:val="00373FFC"/>
    <w:rsid w:val="003743E5"/>
    <w:rsid w:val="003744CB"/>
    <w:rsid w:val="0037458D"/>
    <w:rsid w:val="00374921"/>
    <w:rsid w:val="00374F35"/>
    <w:rsid w:val="003755DC"/>
    <w:rsid w:val="003756D2"/>
    <w:rsid w:val="00375870"/>
    <w:rsid w:val="00375883"/>
    <w:rsid w:val="00375AA2"/>
    <w:rsid w:val="00375ADA"/>
    <w:rsid w:val="00376015"/>
    <w:rsid w:val="00376095"/>
    <w:rsid w:val="0037616B"/>
    <w:rsid w:val="003762B4"/>
    <w:rsid w:val="003768C5"/>
    <w:rsid w:val="003769F9"/>
    <w:rsid w:val="00376ABF"/>
    <w:rsid w:val="00376B11"/>
    <w:rsid w:val="00376B8A"/>
    <w:rsid w:val="003776CF"/>
    <w:rsid w:val="00377936"/>
    <w:rsid w:val="00377941"/>
    <w:rsid w:val="00377999"/>
    <w:rsid w:val="00377D6B"/>
    <w:rsid w:val="00380102"/>
    <w:rsid w:val="003802A9"/>
    <w:rsid w:val="00380453"/>
    <w:rsid w:val="003804CC"/>
    <w:rsid w:val="00380738"/>
    <w:rsid w:val="00380AB4"/>
    <w:rsid w:val="00380FD5"/>
    <w:rsid w:val="003812CA"/>
    <w:rsid w:val="00381567"/>
    <w:rsid w:val="003815C4"/>
    <w:rsid w:val="003817BD"/>
    <w:rsid w:val="0038199F"/>
    <w:rsid w:val="00381A40"/>
    <w:rsid w:val="00381EB2"/>
    <w:rsid w:val="00381F3A"/>
    <w:rsid w:val="00381FEE"/>
    <w:rsid w:val="003827D6"/>
    <w:rsid w:val="00382AEE"/>
    <w:rsid w:val="00382CA6"/>
    <w:rsid w:val="00382CD2"/>
    <w:rsid w:val="003830D3"/>
    <w:rsid w:val="003831C8"/>
    <w:rsid w:val="00383275"/>
    <w:rsid w:val="003833C0"/>
    <w:rsid w:val="00383552"/>
    <w:rsid w:val="003836AB"/>
    <w:rsid w:val="003836E2"/>
    <w:rsid w:val="00384698"/>
    <w:rsid w:val="00384C4F"/>
    <w:rsid w:val="00385567"/>
    <w:rsid w:val="00385CB2"/>
    <w:rsid w:val="00385D77"/>
    <w:rsid w:val="00385EC8"/>
    <w:rsid w:val="00386742"/>
    <w:rsid w:val="003867E6"/>
    <w:rsid w:val="00386B58"/>
    <w:rsid w:val="00386B98"/>
    <w:rsid w:val="00386BBE"/>
    <w:rsid w:val="00386F0D"/>
    <w:rsid w:val="00386F47"/>
    <w:rsid w:val="00387037"/>
    <w:rsid w:val="0038727B"/>
    <w:rsid w:val="003872C5"/>
    <w:rsid w:val="0038751E"/>
    <w:rsid w:val="003876D3"/>
    <w:rsid w:val="003876E8"/>
    <w:rsid w:val="00387D71"/>
    <w:rsid w:val="00387EBE"/>
    <w:rsid w:val="00387FD8"/>
    <w:rsid w:val="00390017"/>
    <w:rsid w:val="0039002F"/>
    <w:rsid w:val="003907A2"/>
    <w:rsid w:val="003907A8"/>
    <w:rsid w:val="00390948"/>
    <w:rsid w:val="00390970"/>
    <w:rsid w:val="0039102A"/>
    <w:rsid w:val="0039110E"/>
    <w:rsid w:val="003911DF"/>
    <w:rsid w:val="00391222"/>
    <w:rsid w:val="00391295"/>
    <w:rsid w:val="003914C0"/>
    <w:rsid w:val="00391770"/>
    <w:rsid w:val="0039196D"/>
    <w:rsid w:val="00391BA6"/>
    <w:rsid w:val="00392336"/>
    <w:rsid w:val="0039239B"/>
    <w:rsid w:val="00392F65"/>
    <w:rsid w:val="00393317"/>
    <w:rsid w:val="00393632"/>
    <w:rsid w:val="003936DC"/>
    <w:rsid w:val="00393713"/>
    <w:rsid w:val="00393B9E"/>
    <w:rsid w:val="00394A85"/>
    <w:rsid w:val="00394F1F"/>
    <w:rsid w:val="00394FC0"/>
    <w:rsid w:val="00395244"/>
    <w:rsid w:val="0039557A"/>
    <w:rsid w:val="00395587"/>
    <w:rsid w:val="0039568A"/>
    <w:rsid w:val="00395DCC"/>
    <w:rsid w:val="00395EB5"/>
    <w:rsid w:val="00396262"/>
    <w:rsid w:val="003967F2"/>
    <w:rsid w:val="00396839"/>
    <w:rsid w:val="00396A4D"/>
    <w:rsid w:val="00396B0C"/>
    <w:rsid w:val="00396B2D"/>
    <w:rsid w:val="00396CA2"/>
    <w:rsid w:val="00397280"/>
    <w:rsid w:val="00397384"/>
    <w:rsid w:val="00397AC5"/>
    <w:rsid w:val="00397BDE"/>
    <w:rsid w:val="00397C65"/>
    <w:rsid w:val="00397EC1"/>
    <w:rsid w:val="00397F18"/>
    <w:rsid w:val="003A0651"/>
    <w:rsid w:val="003A077E"/>
    <w:rsid w:val="003A0C69"/>
    <w:rsid w:val="003A13F2"/>
    <w:rsid w:val="003A17BB"/>
    <w:rsid w:val="003A1A22"/>
    <w:rsid w:val="003A210E"/>
    <w:rsid w:val="003A22C2"/>
    <w:rsid w:val="003A22D0"/>
    <w:rsid w:val="003A2353"/>
    <w:rsid w:val="003A240A"/>
    <w:rsid w:val="003A2972"/>
    <w:rsid w:val="003A3550"/>
    <w:rsid w:val="003A3560"/>
    <w:rsid w:val="003A36FA"/>
    <w:rsid w:val="003A3BEB"/>
    <w:rsid w:val="003A43AE"/>
    <w:rsid w:val="003A48C1"/>
    <w:rsid w:val="003A4BC2"/>
    <w:rsid w:val="003A4C61"/>
    <w:rsid w:val="003A5149"/>
    <w:rsid w:val="003A5AC0"/>
    <w:rsid w:val="003A5E48"/>
    <w:rsid w:val="003A5F60"/>
    <w:rsid w:val="003A6261"/>
    <w:rsid w:val="003A67E6"/>
    <w:rsid w:val="003A68A3"/>
    <w:rsid w:val="003A6E50"/>
    <w:rsid w:val="003A702C"/>
    <w:rsid w:val="003B020B"/>
    <w:rsid w:val="003B0270"/>
    <w:rsid w:val="003B043B"/>
    <w:rsid w:val="003B058B"/>
    <w:rsid w:val="003B05CB"/>
    <w:rsid w:val="003B0628"/>
    <w:rsid w:val="003B0682"/>
    <w:rsid w:val="003B077C"/>
    <w:rsid w:val="003B15AC"/>
    <w:rsid w:val="003B1609"/>
    <w:rsid w:val="003B19D7"/>
    <w:rsid w:val="003B1C56"/>
    <w:rsid w:val="003B1E1A"/>
    <w:rsid w:val="003B20C7"/>
    <w:rsid w:val="003B2255"/>
    <w:rsid w:val="003B293A"/>
    <w:rsid w:val="003B34A0"/>
    <w:rsid w:val="003B3C8E"/>
    <w:rsid w:val="003B46D5"/>
    <w:rsid w:val="003B4864"/>
    <w:rsid w:val="003B4CC4"/>
    <w:rsid w:val="003B4E52"/>
    <w:rsid w:val="003B5A4F"/>
    <w:rsid w:val="003B5F85"/>
    <w:rsid w:val="003B6810"/>
    <w:rsid w:val="003B6979"/>
    <w:rsid w:val="003B6B93"/>
    <w:rsid w:val="003B6EE3"/>
    <w:rsid w:val="003B6EFE"/>
    <w:rsid w:val="003B754F"/>
    <w:rsid w:val="003B7933"/>
    <w:rsid w:val="003B7AA8"/>
    <w:rsid w:val="003B7AC6"/>
    <w:rsid w:val="003B7BE6"/>
    <w:rsid w:val="003C05AB"/>
    <w:rsid w:val="003C068F"/>
    <w:rsid w:val="003C06AB"/>
    <w:rsid w:val="003C0A26"/>
    <w:rsid w:val="003C0B17"/>
    <w:rsid w:val="003C0E1F"/>
    <w:rsid w:val="003C1029"/>
    <w:rsid w:val="003C1298"/>
    <w:rsid w:val="003C18D9"/>
    <w:rsid w:val="003C1CE2"/>
    <w:rsid w:val="003C1E67"/>
    <w:rsid w:val="003C1FF2"/>
    <w:rsid w:val="003C2287"/>
    <w:rsid w:val="003C2315"/>
    <w:rsid w:val="003C2698"/>
    <w:rsid w:val="003C290F"/>
    <w:rsid w:val="003C2AF7"/>
    <w:rsid w:val="003C30C0"/>
    <w:rsid w:val="003C352C"/>
    <w:rsid w:val="003C3744"/>
    <w:rsid w:val="003C3A18"/>
    <w:rsid w:val="003C3BDD"/>
    <w:rsid w:val="003C3ECE"/>
    <w:rsid w:val="003C3F7B"/>
    <w:rsid w:val="003C403B"/>
    <w:rsid w:val="003C407D"/>
    <w:rsid w:val="003C41EA"/>
    <w:rsid w:val="003C4B2D"/>
    <w:rsid w:val="003C51E6"/>
    <w:rsid w:val="003C5662"/>
    <w:rsid w:val="003C5B82"/>
    <w:rsid w:val="003C5E6A"/>
    <w:rsid w:val="003C64DD"/>
    <w:rsid w:val="003C68F2"/>
    <w:rsid w:val="003C694C"/>
    <w:rsid w:val="003C6F16"/>
    <w:rsid w:val="003C7453"/>
    <w:rsid w:val="003C75FB"/>
    <w:rsid w:val="003C77AE"/>
    <w:rsid w:val="003C7CAE"/>
    <w:rsid w:val="003D00F9"/>
    <w:rsid w:val="003D05DA"/>
    <w:rsid w:val="003D0907"/>
    <w:rsid w:val="003D0E77"/>
    <w:rsid w:val="003D0FE8"/>
    <w:rsid w:val="003D14BF"/>
    <w:rsid w:val="003D17DA"/>
    <w:rsid w:val="003D1BF8"/>
    <w:rsid w:val="003D1F86"/>
    <w:rsid w:val="003D2248"/>
    <w:rsid w:val="003D22FD"/>
    <w:rsid w:val="003D3020"/>
    <w:rsid w:val="003D3334"/>
    <w:rsid w:val="003D3681"/>
    <w:rsid w:val="003D39C1"/>
    <w:rsid w:val="003D3D5E"/>
    <w:rsid w:val="003D3EFB"/>
    <w:rsid w:val="003D4159"/>
    <w:rsid w:val="003D469F"/>
    <w:rsid w:val="003D48AE"/>
    <w:rsid w:val="003D4942"/>
    <w:rsid w:val="003D60C6"/>
    <w:rsid w:val="003D6359"/>
    <w:rsid w:val="003D63ED"/>
    <w:rsid w:val="003D6E02"/>
    <w:rsid w:val="003D7227"/>
    <w:rsid w:val="003D7278"/>
    <w:rsid w:val="003E028D"/>
    <w:rsid w:val="003E03E4"/>
    <w:rsid w:val="003E0519"/>
    <w:rsid w:val="003E0595"/>
    <w:rsid w:val="003E0D2F"/>
    <w:rsid w:val="003E0E57"/>
    <w:rsid w:val="003E1C85"/>
    <w:rsid w:val="003E1E12"/>
    <w:rsid w:val="003E21DF"/>
    <w:rsid w:val="003E2F0C"/>
    <w:rsid w:val="003E2F76"/>
    <w:rsid w:val="003E3718"/>
    <w:rsid w:val="003E374C"/>
    <w:rsid w:val="003E3848"/>
    <w:rsid w:val="003E38DB"/>
    <w:rsid w:val="003E3AFE"/>
    <w:rsid w:val="003E3EF4"/>
    <w:rsid w:val="003E4746"/>
    <w:rsid w:val="003E4976"/>
    <w:rsid w:val="003E4B31"/>
    <w:rsid w:val="003E4F1B"/>
    <w:rsid w:val="003E517A"/>
    <w:rsid w:val="003E519F"/>
    <w:rsid w:val="003E5ED1"/>
    <w:rsid w:val="003E645D"/>
    <w:rsid w:val="003E6564"/>
    <w:rsid w:val="003E66DA"/>
    <w:rsid w:val="003E683D"/>
    <w:rsid w:val="003E6DA1"/>
    <w:rsid w:val="003E704F"/>
    <w:rsid w:val="003E7053"/>
    <w:rsid w:val="003E7676"/>
    <w:rsid w:val="003E76A3"/>
    <w:rsid w:val="003E798E"/>
    <w:rsid w:val="003E7CBE"/>
    <w:rsid w:val="003E7FB7"/>
    <w:rsid w:val="003F02BC"/>
    <w:rsid w:val="003F06FA"/>
    <w:rsid w:val="003F091B"/>
    <w:rsid w:val="003F0AC3"/>
    <w:rsid w:val="003F1224"/>
    <w:rsid w:val="003F145A"/>
    <w:rsid w:val="003F1A25"/>
    <w:rsid w:val="003F1DB4"/>
    <w:rsid w:val="003F21E8"/>
    <w:rsid w:val="003F2472"/>
    <w:rsid w:val="003F268C"/>
    <w:rsid w:val="003F2757"/>
    <w:rsid w:val="003F2E68"/>
    <w:rsid w:val="003F2F07"/>
    <w:rsid w:val="003F307B"/>
    <w:rsid w:val="003F3987"/>
    <w:rsid w:val="003F3A51"/>
    <w:rsid w:val="003F3CA5"/>
    <w:rsid w:val="003F4186"/>
    <w:rsid w:val="003F42E9"/>
    <w:rsid w:val="003F48CF"/>
    <w:rsid w:val="003F4B89"/>
    <w:rsid w:val="003F588F"/>
    <w:rsid w:val="003F6163"/>
    <w:rsid w:val="003F6419"/>
    <w:rsid w:val="003F661D"/>
    <w:rsid w:val="003F6E77"/>
    <w:rsid w:val="003F7119"/>
    <w:rsid w:val="0040026E"/>
    <w:rsid w:val="004004F0"/>
    <w:rsid w:val="00401179"/>
    <w:rsid w:val="00401476"/>
    <w:rsid w:val="004020D0"/>
    <w:rsid w:val="0040290D"/>
    <w:rsid w:val="00402F81"/>
    <w:rsid w:val="004032A4"/>
    <w:rsid w:val="00403300"/>
    <w:rsid w:val="004034DD"/>
    <w:rsid w:val="00403868"/>
    <w:rsid w:val="004038EC"/>
    <w:rsid w:val="0040392F"/>
    <w:rsid w:val="00404671"/>
    <w:rsid w:val="004047D5"/>
    <w:rsid w:val="00404B31"/>
    <w:rsid w:val="00404BA3"/>
    <w:rsid w:val="00404D03"/>
    <w:rsid w:val="00404E2E"/>
    <w:rsid w:val="00404F94"/>
    <w:rsid w:val="00404F9A"/>
    <w:rsid w:val="0040561B"/>
    <w:rsid w:val="004057DC"/>
    <w:rsid w:val="0040589D"/>
    <w:rsid w:val="00405C2E"/>
    <w:rsid w:val="00405DE6"/>
    <w:rsid w:val="0040642E"/>
    <w:rsid w:val="00406C19"/>
    <w:rsid w:val="004072B8"/>
    <w:rsid w:val="004072ED"/>
    <w:rsid w:val="00407609"/>
    <w:rsid w:val="004076EB"/>
    <w:rsid w:val="00407774"/>
    <w:rsid w:val="004077AD"/>
    <w:rsid w:val="00407FF7"/>
    <w:rsid w:val="004101FC"/>
    <w:rsid w:val="00410789"/>
    <w:rsid w:val="00410927"/>
    <w:rsid w:val="00410AE0"/>
    <w:rsid w:val="00411090"/>
    <w:rsid w:val="004111CA"/>
    <w:rsid w:val="0041147C"/>
    <w:rsid w:val="0041188C"/>
    <w:rsid w:val="0041204D"/>
    <w:rsid w:val="00412215"/>
    <w:rsid w:val="00412442"/>
    <w:rsid w:val="0041262D"/>
    <w:rsid w:val="00412823"/>
    <w:rsid w:val="00413425"/>
    <w:rsid w:val="0041342D"/>
    <w:rsid w:val="0041343D"/>
    <w:rsid w:val="0041357A"/>
    <w:rsid w:val="0041371D"/>
    <w:rsid w:val="004137B2"/>
    <w:rsid w:val="00413893"/>
    <w:rsid w:val="00413C9C"/>
    <w:rsid w:val="00413E05"/>
    <w:rsid w:val="00413EE2"/>
    <w:rsid w:val="00413F53"/>
    <w:rsid w:val="00414387"/>
    <w:rsid w:val="00414583"/>
    <w:rsid w:val="004145C4"/>
    <w:rsid w:val="004149E6"/>
    <w:rsid w:val="00414C2A"/>
    <w:rsid w:val="0041509A"/>
    <w:rsid w:val="004152FF"/>
    <w:rsid w:val="00415521"/>
    <w:rsid w:val="00415B0C"/>
    <w:rsid w:val="00415DF8"/>
    <w:rsid w:val="00415E03"/>
    <w:rsid w:val="0041637D"/>
    <w:rsid w:val="00416571"/>
    <w:rsid w:val="00416D1F"/>
    <w:rsid w:val="00416EB8"/>
    <w:rsid w:val="00417176"/>
    <w:rsid w:val="004178CC"/>
    <w:rsid w:val="0041793F"/>
    <w:rsid w:val="00417E05"/>
    <w:rsid w:val="004201BF"/>
    <w:rsid w:val="00420296"/>
    <w:rsid w:val="004204C7"/>
    <w:rsid w:val="0042071D"/>
    <w:rsid w:val="004209C7"/>
    <w:rsid w:val="00420B1D"/>
    <w:rsid w:val="00420F68"/>
    <w:rsid w:val="0042136E"/>
    <w:rsid w:val="0042151B"/>
    <w:rsid w:val="00421E87"/>
    <w:rsid w:val="0042236A"/>
    <w:rsid w:val="00422A85"/>
    <w:rsid w:val="00422E9C"/>
    <w:rsid w:val="00422F70"/>
    <w:rsid w:val="0042304A"/>
    <w:rsid w:val="00423157"/>
    <w:rsid w:val="00423194"/>
    <w:rsid w:val="00423C48"/>
    <w:rsid w:val="00423D84"/>
    <w:rsid w:val="0042434E"/>
    <w:rsid w:val="00424519"/>
    <w:rsid w:val="00424692"/>
    <w:rsid w:val="00425125"/>
    <w:rsid w:val="0042516B"/>
    <w:rsid w:val="004252A8"/>
    <w:rsid w:val="00425934"/>
    <w:rsid w:val="00425E25"/>
    <w:rsid w:val="00426031"/>
    <w:rsid w:val="00426344"/>
    <w:rsid w:val="004265AF"/>
    <w:rsid w:val="004267B4"/>
    <w:rsid w:val="004269BC"/>
    <w:rsid w:val="00426E90"/>
    <w:rsid w:val="0042734F"/>
    <w:rsid w:val="00427458"/>
    <w:rsid w:val="0042787A"/>
    <w:rsid w:val="00427D8B"/>
    <w:rsid w:val="00427E70"/>
    <w:rsid w:val="0043003F"/>
    <w:rsid w:val="004302CD"/>
    <w:rsid w:val="004305A2"/>
    <w:rsid w:val="0043060D"/>
    <w:rsid w:val="004307C3"/>
    <w:rsid w:val="004309BF"/>
    <w:rsid w:val="004309D4"/>
    <w:rsid w:val="00430D9F"/>
    <w:rsid w:val="00430EDD"/>
    <w:rsid w:val="00431233"/>
    <w:rsid w:val="004314BE"/>
    <w:rsid w:val="004315D6"/>
    <w:rsid w:val="0043188B"/>
    <w:rsid w:val="00431E9A"/>
    <w:rsid w:val="004320F9"/>
    <w:rsid w:val="00432F0C"/>
    <w:rsid w:val="00433062"/>
    <w:rsid w:val="0043308E"/>
    <w:rsid w:val="00433369"/>
    <w:rsid w:val="004335A5"/>
    <w:rsid w:val="00433B04"/>
    <w:rsid w:val="00433B3F"/>
    <w:rsid w:val="00433CDA"/>
    <w:rsid w:val="00433D71"/>
    <w:rsid w:val="00433FE6"/>
    <w:rsid w:val="00434224"/>
    <w:rsid w:val="00435177"/>
    <w:rsid w:val="00435360"/>
    <w:rsid w:val="0043545E"/>
    <w:rsid w:val="00435780"/>
    <w:rsid w:val="00435A04"/>
    <w:rsid w:val="00435AB5"/>
    <w:rsid w:val="00435CCB"/>
    <w:rsid w:val="00435FB9"/>
    <w:rsid w:val="00436009"/>
    <w:rsid w:val="00436247"/>
    <w:rsid w:val="0043633A"/>
    <w:rsid w:val="0043635C"/>
    <w:rsid w:val="00436488"/>
    <w:rsid w:val="00436C4E"/>
    <w:rsid w:val="00436D27"/>
    <w:rsid w:val="00436D65"/>
    <w:rsid w:val="00436E72"/>
    <w:rsid w:val="00436FAC"/>
    <w:rsid w:val="004377B9"/>
    <w:rsid w:val="00437873"/>
    <w:rsid w:val="00437B12"/>
    <w:rsid w:val="00437D8B"/>
    <w:rsid w:val="00437E7D"/>
    <w:rsid w:val="004400CD"/>
    <w:rsid w:val="00440258"/>
    <w:rsid w:val="004403B1"/>
    <w:rsid w:val="004403C0"/>
    <w:rsid w:val="0044063A"/>
    <w:rsid w:val="00440A1A"/>
    <w:rsid w:val="00440A80"/>
    <w:rsid w:val="00440ED1"/>
    <w:rsid w:val="00441012"/>
    <w:rsid w:val="004412E1"/>
    <w:rsid w:val="00441A46"/>
    <w:rsid w:val="0044207B"/>
    <w:rsid w:val="004424FB"/>
    <w:rsid w:val="00442733"/>
    <w:rsid w:val="00442A9D"/>
    <w:rsid w:val="00442BAD"/>
    <w:rsid w:val="00442BDF"/>
    <w:rsid w:val="004431BF"/>
    <w:rsid w:val="00443433"/>
    <w:rsid w:val="00443CB5"/>
    <w:rsid w:val="00444431"/>
    <w:rsid w:val="00445BBB"/>
    <w:rsid w:val="00445C50"/>
    <w:rsid w:val="00445DBB"/>
    <w:rsid w:val="00445F7F"/>
    <w:rsid w:val="00445FA9"/>
    <w:rsid w:val="0044659F"/>
    <w:rsid w:val="004465CA"/>
    <w:rsid w:val="00446652"/>
    <w:rsid w:val="00446891"/>
    <w:rsid w:val="00446B98"/>
    <w:rsid w:val="004473BB"/>
    <w:rsid w:val="00447429"/>
    <w:rsid w:val="00447469"/>
    <w:rsid w:val="00447922"/>
    <w:rsid w:val="00447BED"/>
    <w:rsid w:val="00447C90"/>
    <w:rsid w:val="004501CB"/>
    <w:rsid w:val="00450308"/>
    <w:rsid w:val="00450B21"/>
    <w:rsid w:val="0045198A"/>
    <w:rsid w:val="00451C81"/>
    <w:rsid w:val="00451D9E"/>
    <w:rsid w:val="00451E8C"/>
    <w:rsid w:val="0045200E"/>
    <w:rsid w:val="00452019"/>
    <w:rsid w:val="00452620"/>
    <w:rsid w:val="00452A2C"/>
    <w:rsid w:val="00452BFD"/>
    <w:rsid w:val="00452D47"/>
    <w:rsid w:val="004530C8"/>
    <w:rsid w:val="0045362D"/>
    <w:rsid w:val="00453955"/>
    <w:rsid w:val="00453C62"/>
    <w:rsid w:val="00453E8A"/>
    <w:rsid w:val="00453F9A"/>
    <w:rsid w:val="00454351"/>
    <w:rsid w:val="0045459E"/>
    <w:rsid w:val="00454852"/>
    <w:rsid w:val="00454EC2"/>
    <w:rsid w:val="00454FFD"/>
    <w:rsid w:val="00455A49"/>
    <w:rsid w:val="00455D7D"/>
    <w:rsid w:val="00456010"/>
    <w:rsid w:val="004564CD"/>
    <w:rsid w:val="00456572"/>
    <w:rsid w:val="00456BD3"/>
    <w:rsid w:val="00456EB3"/>
    <w:rsid w:val="00456ECC"/>
    <w:rsid w:val="004573C9"/>
    <w:rsid w:val="00457758"/>
    <w:rsid w:val="00457E40"/>
    <w:rsid w:val="004602F2"/>
    <w:rsid w:val="004604CE"/>
    <w:rsid w:val="00461276"/>
    <w:rsid w:val="004617F7"/>
    <w:rsid w:val="00461BE8"/>
    <w:rsid w:val="004623DA"/>
    <w:rsid w:val="004625EA"/>
    <w:rsid w:val="00462799"/>
    <w:rsid w:val="00462847"/>
    <w:rsid w:val="004629AD"/>
    <w:rsid w:val="00462AC8"/>
    <w:rsid w:val="00462D57"/>
    <w:rsid w:val="00462FEF"/>
    <w:rsid w:val="00463239"/>
    <w:rsid w:val="0046340B"/>
    <w:rsid w:val="00463455"/>
    <w:rsid w:val="0046358D"/>
    <w:rsid w:val="0046467C"/>
    <w:rsid w:val="0046496A"/>
    <w:rsid w:val="00464E33"/>
    <w:rsid w:val="00465098"/>
    <w:rsid w:val="00466189"/>
    <w:rsid w:val="004662BF"/>
    <w:rsid w:val="00466B38"/>
    <w:rsid w:val="00466DF1"/>
    <w:rsid w:val="00467355"/>
    <w:rsid w:val="00467387"/>
    <w:rsid w:val="004675C5"/>
    <w:rsid w:val="0046779D"/>
    <w:rsid w:val="00467DAF"/>
    <w:rsid w:val="00467F03"/>
    <w:rsid w:val="00467FE5"/>
    <w:rsid w:val="00467FEE"/>
    <w:rsid w:val="00470242"/>
    <w:rsid w:val="00470543"/>
    <w:rsid w:val="00470CCF"/>
    <w:rsid w:val="00470D6C"/>
    <w:rsid w:val="00470E36"/>
    <w:rsid w:val="004711C8"/>
    <w:rsid w:val="00471DF9"/>
    <w:rsid w:val="00472112"/>
    <w:rsid w:val="00472410"/>
    <w:rsid w:val="00472769"/>
    <w:rsid w:val="00472923"/>
    <w:rsid w:val="00472E41"/>
    <w:rsid w:val="00473A55"/>
    <w:rsid w:val="00473B67"/>
    <w:rsid w:val="00474190"/>
    <w:rsid w:val="00474409"/>
    <w:rsid w:val="00474486"/>
    <w:rsid w:val="004744B4"/>
    <w:rsid w:val="00474763"/>
    <w:rsid w:val="00475ACA"/>
    <w:rsid w:val="00476177"/>
    <w:rsid w:val="004765D7"/>
    <w:rsid w:val="00476A74"/>
    <w:rsid w:val="00476D10"/>
    <w:rsid w:val="00476EB3"/>
    <w:rsid w:val="00476F70"/>
    <w:rsid w:val="004771E2"/>
    <w:rsid w:val="004775BF"/>
    <w:rsid w:val="00477853"/>
    <w:rsid w:val="00477A2A"/>
    <w:rsid w:val="00477CCF"/>
    <w:rsid w:val="004805BF"/>
    <w:rsid w:val="00480688"/>
    <w:rsid w:val="00480902"/>
    <w:rsid w:val="00480922"/>
    <w:rsid w:val="00480A3B"/>
    <w:rsid w:val="00480A4A"/>
    <w:rsid w:val="00480B87"/>
    <w:rsid w:val="0048137F"/>
    <w:rsid w:val="00481489"/>
    <w:rsid w:val="00481761"/>
    <w:rsid w:val="004817DD"/>
    <w:rsid w:val="00481F42"/>
    <w:rsid w:val="004825A5"/>
    <w:rsid w:val="0048280F"/>
    <w:rsid w:val="00482968"/>
    <w:rsid w:val="00482982"/>
    <w:rsid w:val="004838F4"/>
    <w:rsid w:val="004839D4"/>
    <w:rsid w:val="00483AEF"/>
    <w:rsid w:val="0048401B"/>
    <w:rsid w:val="0048439D"/>
    <w:rsid w:val="00484578"/>
    <w:rsid w:val="004846E4"/>
    <w:rsid w:val="0048551B"/>
    <w:rsid w:val="00485B57"/>
    <w:rsid w:val="00485C63"/>
    <w:rsid w:val="00486385"/>
    <w:rsid w:val="004864E6"/>
    <w:rsid w:val="0048655B"/>
    <w:rsid w:val="00486596"/>
    <w:rsid w:val="00486705"/>
    <w:rsid w:val="00486A07"/>
    <w:rsid w:val="00486B3D"/>
    <w:rsid w:val="00486B77"/>
    <w:rsid w:val="00486B82"/>
    <w:rsid w:val="004873C0"/>
    <w:rsid w:val="00487EE9"/>
    <w:rsid w:val="004901E7"/>
    <w:rsid w:val="0049037E"/>
    <w:rsid w:val="0049042C"/>
    <w:rsid w:val="0049047F"/>
    <w:rsid w:val="004909B1"/>
    <w:rsid w:val="00490C18"/>
    <w:rsid w:val="00491074"/>
    <w:rsid w:val="004910B5"/>
    <w:rsid w:val="0049138A"/>
    <w:rsid w:val="0049169C"/>
    <w:rsid w:val="00491860"/>
    <w:rsid w:val="00491AD3"/>
    <w:rsid w:val="00491EBD"/>
    <w:rsid w:val="00491EE6"/>
    <w:rsid w:val="004921DA"/>
    <w:rsid w:val="00492609"/>
    <w:rsid w:val="00492648"/>
    <w:rsid w:val="004926E6"/>
    <w:rsid w:val="00492980"/>
    <w:rsid w:val="00492F29"/>
    <w:rsid w:val="00493AC3"/>
    <w:rsid w:val="00493F56"/>
    <w:rsid w:val="00494072"/>
    <w:rsid w:val="00494097"/>
    <w:rsid w:val="00494507"/>
    <w:rsid w:val="004945CE"/>
    <w:rsid w:val="00494933"/>
    <w:rsid w:val="00494DA6"/>
    <w:rsid w:val="00494E56"/>
    <w:rsid w:val="00494FB2"/>
    <w:rsid w:val="004953D0"/>
    <w:rsid w:val="004957FD"/>
    <w:rsid w:val="00495897"/>
    <w:rsid w:val="00495E5A"/>
    <w:rsid w:val="004960FB"/>
    <w:rsid w:val="004964EC"/>
    <w:rsid w:val="00496789"/>
    <w:rsid w:val="004967A0"/>
    <w:rsid w:val="00496A03"/>
    <w:rsid w:val="00496DE6"/>
    <w:rsid w:val="004971BE"/>
    <w:rsid w:val="00497362"/>
    <w:rsid w:val="004978E4"/>
    <w:rsid w:val="004A0685"/>
    <w:rsid w:val="004A0945"/>
    <w:rsid w:val="004A09A9"/>
    <w:rsid w:val="004A0A25"/>
    <w:rsid w:val="004A0CA7"/>
    <w:rsid w:val="004A0F1C"/>
    <w:rsid w:val="004A1700"/>
    <w:rsid w:val="004A176F"/>
    <w:rsid w:val="004A184D"/>
    <w:rsid w:val="004A1C2A"/>
    <w:rsid w:val="004A219B"/>
    <w:rsid w:val="004A244B"/>
    <w:rsid w:val="004A268E"/>
    <w:rsid w:val="004A28B2"/>
    <w:rsid w:val="004A294E"/>
    <w:rsid w:val="004A2C46"/>
    <w:rsid w:val="004A3304"/>
    <w:rsid w:val="004A3383"/>
    <w:rsid w:val="004A3414"/>
    <w:rsid w:val="004A3625"/>
    <w:rsid w:val="004A3AFB"/>
    <w:rsid w:val="004A44A3"/>
    <w:rsid w:val="004A44F0"/>
    <w:rsid w:val="004A4ECB"/>
    <w:rsid w:val="004A50A5"/>
    <w:rsid w:val="004A562C"/>
    <w:rsid w:val="004A57DD"/>
    <w:rsid w:val="004A5DED"/>
    <w:rsid w:val="004A62C6"/>
    <w:rsid w:val="004A67BC"/>
    <w:rsid w:val="004A6C37"/>
    <w:rsid w:val="004A7281"/>
    <w:rsid w:val="004A7B28"/>
    <w:rsid w:val="004A7E2D"/>
    <w:rsid w:val="004A7F5A"/>
    <w:rsid w:val="004A7F74"/>
    <w:rsid w:val="004B016F"/>
    <w:rsid w:val="004B05DD"/>
    <w:rsid w:val="004B0888"/>
    <w:rsid w:val="004B0DE5"/>
    <w:rsid w:val="004B0E25"/>
    <w:rsid w:val="004B11DA"/>
    <w:rsid w:val="004B13EA"/>
    <w:rsid w:val="004B252C"/>
    <w:rsid w:val="004B29B5"/>
    <w:rsid w:val="004B2EBB"/>
    <w:rsid w:val="004B3173"/>
    <w:rsid w:val="004B347F"/>
    <w:rsid w:val="004B3CBA"/>
    <w:rsid w:val="004B4343"/>
    <w:rsid w:val="004B4844"/>
    <w:rsid w:val="004B49B9"/>
    <w:rsid w:val="004B4A1F"/>
    <w:rsid w:val="004B4DFA"/>
    <w:rsid w:val="004B50E5"/>
    <w:rsid w:val="004B5460"/>
    <w:rsid w:val="004B5AA6"/>
    <w:rsid w:val="004B5B1C"/>
    <w:rsid w:val="004B5C91"/>
    <w:rsid w:val="004B5EBF"/>
    <w:rsid w:val="004B63A9"/>
    <w:rsid w:val="004B679D"/>
    <w:rsid w:val="004B6C76"/>
    <w:rsid w:val="004B6F2A"/>
    <w:rsid w:val="004B72D1"/>
    <w:rsid w:val="004B740E"/>
    <w:rsid w:val="004B77F1"/>
    <w:rsid w:val="004C0035"/>
    <w:rsid w:val="004C03C0"/>
    <w:rsid w:val="004C07EA"/>
    <w:rsid w:val="004C09B7"/>
    <w:rsid w:val="004C1549"/>
    <w:rsid w:val="004C1878"/>
    <w:rsid w:val="004C18CA"/>
    <w:rsid w:val="004C2116"/>
    <w:rsid w:val="004C240C"/>
    <w:rsid w:val="004C2655"/>
    <w:rsid w:val="004C27C8"/>
    <w:rsid w:val="004C288F"/>
    <w:rsid w:val="004C28C4"/>
    <w:rsid w:val="004C2B33"/>
    <w:rsid w:val="004C2F2C"/>
    <w:rsid w:val="004C304A"/>
    <w:rsid w:val="004C38D7"/>
    <w:rsid w:val="004C402C"/>
    <w:rsid w:val="004C434C"/>
    <w:rsid w:val="004C435C"/>
    <w:rsid w:val="004C499C"/>
    <w:rsid w:val="004C4E0A"/>
    <w:rsid w:val="004C4E10"/>
    <w:rsid w:val="004C56FB"/>
    <w:rsid w:val="004C57E9"/>
    <w:rsid w:val="004C5976"/>
    <w:rsid w:val="004C5D8D"/>
    <w:rsid w:val="004C5DC0"/>
    <w:rsid w:val="004C5EEE"/>
    <w:rsid w:val="004C649F"/>
    <w:rsid w:val="004C7B62"/>
    <w:rsid w:val="004C7BE6"/>
    <w:rsid w:val="004C7DA3"/>
    <w:rsid w:val="004C7E58"/>
    <w:rsid w:val="004D00BD"/>
    <w:rsid w:val="004D0183"/>
    <w:rsid w:val="004D0383"/>
    <w:rsid w:val="004D0452"/>
    <w:rsid w:val="004D0559"/>
    <w:rsid w:val="004D065F"/>
    <w:rsid w:val="004D0E75"/>
    <w:rsid w:val="004D17C9"/>
    <w:rsid w:val="004D18B1"/>
    <w:rsid w:val="004D2007"/>
    <w:rsid w:val="004D2936"/>
    <w:rsid w:val="004D2F71"/>
    <w:rsid w:val="004D301D"/>
    <w:rsid w:val="004D33D7"/>
    <w:rsid w:val="004D3EF3"/>
    <w:rsid w:val="004D47DE"/>
    <w:rsid w:val="004D492F"/>
    <w:rsid w:val="004D4D09"/>
    <w:rsid w:val="004D55AD"/>
    <w:rsid w:val="004D6282"/>
    <w:rsid w:val="004D676D"/>
    <w:rsid w:val="004D6A76"/>
    <w:rsid w:val="004D6B5D"/>
    <w:rsid w:val="004D6D99"/>
    <w:rsid w:val="004D6EF7"/>
    <w:rsid w:val="004D746B"/>
    <w:rsid w:val="004D794B"/>
    <w:rsid w:val="004D7FC2"/>
    <w:rsid w:val="004E06FC"/>
    <w:rsid w:val="004E1015"/>
    <w:rsid w:val="004E1514"/>
    <w:rsid w:val="004E15DE"/>
    <w:rsid w:val="004E1619"/>
    <w:rsid w:val="004E1BBB"/>
    <w:rsid w:val="004E1EFD"/>
    <w:rsid w:val="004E1FD5"/>
    <w:rsid w:val="004E2140"/>
    <w:rsid w:val="004E21B2"/>
    <w:rsid w:val="004E2347"/>
    <w:rsid w:val="004E2B28"/>
    <w:rsid w:val="004E2BF1"/>
    <w:rsid w:val="004E332C"/>
    <w:rsid w:val="004E377F"/>
    <w:rsid w:val="004E382C"/>
    <w:rsid w:val="004E3E24"/>
    <w:rsid w:val="004E4090"/>
    <w:rsid w:val="004E41FD"/>
    <w:rsid w:val="004E43F5"/>
    <w:rsid w:val="004E446A"/>
    <w:rsid w:val="004E4A63"/>
    <w:rsid w:val="004E4BA4"/>
    <w:rsid w:val="004E5723"/>
    <w:rsid w:val="004E5F8B"/>
    <w:rsid w:val="004E750D"/>
    <w:rsid w:val="004E7E0C"/>
    <w:rsid w:val="004F02CD"/>
    <w:rsid w:val="004F09CC"/>
    <w:rsid w:val="004F0E25"/>
    <w:rsid w:val="004F0F22"/>
    <w:rsid w:val="004F106A"/>
    <w:rsid w:val="004F1447"/>
    <w:rsid w:val="004F14EE"/>
    <w:rsid w:val="004F157A"/>
    <w:rsid w:val="004F16D9"/>
    <w:rsid w:val="004F1F55"/>
    <w:rsid w:val="004F1FA0"/>
    <w:rsid w:val="004F2622"/>
    <w:rsid w:val="004F2A8E"/>
    <w:rsid w:val="004F2CD7"/>
    <w:rsid w:val="004F2DB0"/>
    <w:rsid w:val="004F3731"/>
    <w:rsid w:val="004F3C07"/>
    <w:rsid w:val="004F3DD3"/>
    <w:rsid w:val="004F3E88"/>
    <w:rsid w:val="004F4641"/>
    <w:rsid w:val="004F4C4E"/>
    <w:rsid w:val="004F4C50"/>
    <w:rsid w:val="004F4CB8"/>
    <w:rsid w:val="004F4E64"/>
    <w:rsid w:val="004F5012"/>
    <w:rsid w:val="004F5091"/>
    <w:rsid w:val="004F5135"/>
    <w:rsid w:val="004F51A0"/>
    <w:rsid w:val="004F548C"/>
    <w:rsid w:val="004F556D"/>
    <w:rsid w:val="004F55C9"/>
    <w:rsid w:val="004F593D"/>
    <w:rsid w:val="004F5C17"/>
    <w:rsid w:val="004F5DD2"/>
    <w:rsid w:val="004F5E0C"/>
    <w:rsid w:val="004F5E64"/>
    <w:rsid w:val="004F6740"/>
    <w:rsid w:val="004F6804"/>
    <w:rsid w:val="004F6848"/>
    <w:rsid w:val="004F68B6"/>
    <w:rsid w:val="004F70F2"/>
    <w:rsid w:val="004F78C0"/>
    <w:rsid w:val="005003B2"/>
    <w:rsid w:val="0050046B"/>
    <w:rsid w:val="0050055C"/>
    <w:rsid w:val="00500AB6"/>
    <w:rsid w:val="00500AE5"/>
    <w:rsid w:val="00500DE1"/>
    <w:rsid w:val="00500F17"/>
    <w:rsid w:val="00500F85"/>
    <w:rsid w:val="0050108E"/>
    <w:rsid w:val="00501357"/>
    <w:rsid w:val="00501511"/>
    <w:rsid w:val="00501706"/>
    <w:rsid w:val="0050170E"/>
    <w:rsid w:val="00501791"/>
    <w:rsid w:val="005018E8"/>
    <w:rsid w:val="00501AB0"/>
    <w:rsid w:val="00501AC3"/>
    <w:rsid w:val="00501B12"/>
    <w:rsid w:val="00501C80"/>
    <w:rsid w:val="00501F5D"/>
    <w:rsid w:val="0050218C"/>
    <w:rsid w:val="00502688"/>
    <w:rsid w:val="00502BF9"/>
    <w:rsid w:val="00502E62"/>
    <w:rsid w:val="00503080"/>
    <w:rsid w:val="00503101"/>
    <w:rsid w:val="00503105"/>
    <w:rsid w:val="00503509"/>
    <w:rsid w:val="00503A27"/>
    <w:rsid w:val="00503CDB"/>
    <w:rsid w:val="0050402C"/>
    <w:rsid w:val="00504463"/>
    <w:rsid w:val="00504A4A"/>
    <w:rsid w:val="00504D9E"/>
    <w:rsid w:val="0050514F"/>
    <w:rsid w:val="00505430"/>
    <w:rsid w:val="005055AE"/>
    <w:rsid w:val="00506E65"/>
    <w:rsid w:val="00506EA2"/>
    <w:rsid w:val="00506FA7"/>
    <w:rsid w:val="00507080"/>
    <w:rsid w:val="0050718F"/>
    <w:rsid w:val="0050741A"/>
    <w:rsid w:val="0050766F"/>
    <w:rsid w:val="005076A7"/>
    <w:rsid w:val="005102F6"/>
    <w:rsid w:val="00510836"/>
    <w:rsid w:val="005108AD"/>
    <w:rsid w:val="00510B36"/>
    <w:rsid w:val="00510B66"/>
    <w:rsid w:val="00510B9C"/>
    <w:rsid w:val="0051141D"/>
    <w:rsid w:val="00511582"/>
    <w:rsid w:val="00511E1B"/>
    <w:rsid w:val="00511F53"/>
    <w:rsid w:val="00512230"/>
    <w:rsid w:val="00512434"/>
    <w:rsid w:val="00512503"/>
    <w:rsid w:val="00512537"/>
    <w:rsid w:val="00512579"/>
    <w:rsid w:val="0051267F"/>
    <w:rsid w:val="00512DF6"/>
    <w:rsid w:val="00512E81"/>
    <w:rsid w:val="00513127"/>
    <w:rsid w:val="00513708"/>
    <w:rsid w:val="00513894"/>
    <w:rsid w:val="00513A04"/>
    <w:rsid w:val="00513A61"/>
    <w:rsid w:val="00513AE6"/>
    <w:rsid w:val="0051402A"/>
    <w:rsid w:val="005148F9"/>
    <w:rsid w:val="00514968"/>
    <w:rsid w:val="00514FA5"/>
    <w:rsid w:val="005151B5"/>
    <w:rsid w:val="0051536E"/>
    <w:rsid w:val="005158E2"/>
    <w:rsid w:val="00515BD5"/>
    <w:rsid w:val="00515F6E"/>
    <w:rsid w:val="00516369"/>
    <w:rsid w:val="00517175"/>
    <w:rsid w:val="005178FE"/>
    <w:rsid w:val="00517AA8"/>
    <w:rsid w:val="00517E85"/>
    <w:rsid w:val="00520181"/>
    <w:rsid w:val="0052069C"/>
    <w:rsid w:val="0052095A"/>
    <w:rsid w:val="00520969"/>
    <w:rsid w:val="005211C7"/>
    <w:rsid w:val="0052138C"/>
    <w:rsid w:val="00521490"/>
    <w:rsid w:val="0052161E"/>
    <w:rsid w:val="00521BD5"/>
    <w:rsid w:val="00521C47"/>
    <w:rsid w:val="00521E54"/>
    <w:rsid w:val="00522547"/>
    <w:rsid w:val="00522723"/>
    <w:rsid w:val="005227D7"/>
    <w:rsid w:val="00522945"/>
    <w:rsid w:val="00522B06"/>
    <w:rsid w:val="00522CF0"/>
    <w:rsid w:val="00522E51"/>
    <w:rsid w:val="00523536"/>
    <w:rsid w:val="00523572"/>
    <w:rsid w:val="00523596"/>
    <w:rsid w:val="005235D7"/>
    <w:rsid w:val="005236DD"/>
    <w:rsid w:val="005236DF"/>
    <w:rsid w:val="00523957"/>
    <w:rsid w:val="00523C66"/>
    <w:rsid w:val="00524148"/>
    <w:rsid w:val="00524CAB"/>
    <w:rsid w:val="00524ECC"/>
    <w:rsid w:val="00525007"/>
    <w:rsid w:val="005252DD"/>
    <w:rsid w:val="00525628"/>
    <w:rsid w:val="00525728"/>
    <w:rsid w:val="0052599A"/>
    <w:rsid w:val="00525A75"/>
    <w:rsid w:val="00525A8F"/>
    <w:rsid w:val="00525CFD"/>
    <w:rsid w:val="00525D7F"/>
    <w:rsid w:val="005260CC"/>
    <w:rsid w:val="0052617F"/>
    <w:rsid w:val="0052659C"/>
    <w:rsid w:val="005267D0"/>
    <w:rsid w:val="00526819"/>
    <w:rsid w:val="00526EA2"/>
    <w:rsid w:val="005279D4"/>
    <w:rsid w:val="00527F24"/>
    <w:rsid w:val="00527FB2"/>
    <w:rsid w:val="0053065E"/>
    <w:rsid w:val="005307AD"/>
    <w:rsid w:val="00530962"/>
    <w:rsid w:val="00530BF1"/>
    <w:rsid w:val="00530DFA"/>
    <w:rsid w:val="00530E0A"/>
    <w:rsid w:val="00530E28"/>
    <w:rsid w:val="005314A8"/>
    <w:rsid w:val="00531587"/>
    <w:rsid w:val="005317D5"/>
    <w:rsid w:val="005321AA"/>
    <w:rsid w:val="00532311"/>
    <w:rsid w:val="00532497"/>
    <w:rsid w:val="00532B8C"/>
    <w:rsid w:val="00533656"/>
    <w:rsid w:val="00533D00"/>
    <w:rsid w:val="00533D2E"/>
    <w:rsid w:val="00533F9E"/>
    <w:rsid w:val="005343C6"/>
    <w:rsid w:val="005344FE"/>
    <w:rsid w:val="0053452F"/>
    <w:rsid w:val="005348E9"/>
    <w:rsid w:val="00534A39"/>
    <w:rsid w:val="005352E9"/>
    <w:rsid w:val="00535471"/>
    <w:rsid w:val="00535D0A"/>
    <w:rsid w:val="00535D9A"/>
    <w:rsid w:val="00535DD6"/>
    <w:rsid w:val="00535F77"/>
    <w:rsid w:val="0053605B"/>
    <w:rsid w:val="00536E5C"/>
    <w:rsid w:val="005371CF"/>
    <w:rsid w:val="005376AD"/>
    <w:rsid w:val="005377BC"/>
    <w:rsid w:val="0053787D"/>
    <w:rsid w:val="00537971"/>
    <w:rsid w:val="00537DFA"/>
    <w:rsid w:val="00537F91"/>
    <w:rsid w:val="00540115"/>
    <w:rsid w:val="005403FD"/>
    <w:rsid w:val="00540516"/>
    <w:rsid w:val="0054084B"/>
    <w:rsid w:val="005408F4"/>
    <w:rsid w:val="005409CE"/>
    <w:rsid w:val="00540FEE"/>
    <w:rsid w:val="00541047"/>
    <w:rsid w:val="00541379"/>
    <w:rsid w:val="00541577"/>
    <w:rsid w:val="0054223D"/>
    <w:rsid w:val="005423A9"/>
    <w:rsid w:val="00542532"/>
    <w:rsid w:val="005429CC"/>
    <w:rsid w:val="00542D0F"/>
    <w:rsid w:val="0054323C"/>
    <w:rsid w:val="0054339F"/>
    <w:rsid w:val="005434A2"/>
    <w:rsid w:val="00543533"/>
    <w:rsid w:val="005438BE"/>
    <w:rsid w:val="00543C1F"/>
    <w:rsid w:val="00543C5F"/>
    <w:rsid w:val="00543E28"/>
    <w:rsid w:val="0054407D"/>
    <w:rsid w:val="005445A6"/>
    <w:rsid w:val="00544764"/>
    <w:rsid w:val="00544B97"/>
    <w:rsid w:val="00544C10"/>
    <w:rsid w:val="0054580E"/>
    <w:rsid w:val="005458B1"/>
    <w:rsid w:val="00545DE0"/>
    <w:rsid w:val="00545EC5"/>
    <w:rsid w:val="00546286"/>
    <w:rsid w:val="005462DE"/>
    <w:rsid w:val="0054636E"/>
    <w:rsid w:val="00546AAE"/>
    <w:rsid w:val="00546D6E"/>
    <w:rsid w:val="00547493"/>
    <w:rsid w:val="0054768C"/>
    <w:rsid w:val="00547B9F"/>
    <w:rsid w:val="00547EB7"/>
    <w:rsid w:val="005500CE"/>
    <w:rsid w:val="005507E3"/>
    <w:rsid w:val="005507EB"/>
    <w:rsid w:val="00550841"/>
    <w:rsid w:val="005508EF"/>
    <w:rsid w:val="005513DB"/>
    <w:rsid w:val="005514B3"/>
    <w:rsid w:val="00551AC7"/>
    <w:rsid w:val="00551B04"/>
    <w:rsid w:val="00551CC8"/>
    <w:rsid w:val="005520A1"/>
    <w:rsid w:val="0055224D"/>
    <w:rsid w:val="005524C3"/>
    <w:rsid w:val="005526C5"/>
    <w:rsid w:val="005527DD"/>
    <w:rsid w:val="005527EC"/>
    <w:rsid w:val="00552EDF"/>
    <w:rsid w:val="005531CC"/>
    <w:rsid w:val="00553378"/>
    <w:rsid w:val="00553398"/>
    <w:rsid w:val="0055356F"/>
    <w:rsid w:val="00553B93"/>
    <w:rsid w:val="00553C43"/>
    <w:rsid w:val="0055412B"/>
    <w:rsid w:val="00554CEF"/>
    <w:rsid w:val="00554E56"/>
    <w:rsid w:val="00554EA0"/>
    <w:rsid w:val="00555144"/>
    <w:rsid w:val="0055530D"/>
    <w:rsid w:val="00555C32"/>
    <w:rsid w:val="0055627B"/>
    <w:rsid w:val="00556DEF"/>
    <w:rsid w:val="005576F0"/>
    <w:rsid w:val="00557868"/>
    <w:rsid w:val="005579B8"/>
    <w:rsid w:val="00560167"/>
    <w:rsid w:val="005608B6"/>
    <w:rsid w:val="00560DB1"/>
    <w:rsid w:val="00560E27"/>
    <w:rsid w:val="00561159"/>
    <w:rsid w:val="00561204"/>
    <w:rsid w:val="005614EF"/>
    <w:rsid w:val="005616C0"/>
    <w:rsid w:val="005617B9"/>
    <w:rsid w:val="0056184E"/>
    <w:rsid w:val="00561EFD"/>
    <w:rsid w:val="00562585"/>
    <w:rsid w:val="00563484"/>
    <w:rsid w:val="00563814"/>
    <w:rsid w:val="00563BD5"/>
    <w:rsid w:val="005640A9"/>
    <w:rsid w:val="0056435F"/>
    <w:rsid w:val="005646BB"/>
    <w:rsid w:val="00564E76"/>
    <w:rsid w:val="00564EFD"/>
    <w:rsid w:val="00565F38"/>
    <w:rsid w:val="00566091"/>
    <w:rsid w:val="00566384"/>
    <w:rsid w:val="005663A4"/>
    <w:rsid w:val="00566853"/>
    <w:rsid w:val="00566887"/>
    <w:rsid w:val="00566964"/>
    <w:rsid w:val="00567770"/>
    <w:rsid w:val="00567780"/>
    <w:rsid w:val="00567F98"/>
    <w:rsid w:val="00567FCC"/>
    <w:rsid w:val="0057008A"/>
    <w:rsid w:val="0057013B"/>
    <w:rsid w:val="005702FB"/>
    <w:rsid w:val="005711B5"/>
    <w:rsid w:val="005712E1"/>
    <w:rsid w:val="005714E2"/>
    <w:rsid w:val="005715BE"/>
    <w:rsid w:val="0057161A"/>
    <w:rsid w:val="00571C1D"/>
    <w:rsid w:val="0057217B"/>
    <w:rsid w:val="00572395"/>
    <w:rsid w:val="00572681"/>
    <w:rsid w:val="005726B8"/>
    <w:rsid w:val="00572A0E"/>
    <w:rsid w:val="00572C9C"/>
    <w:rsid w:val="00572FC6"/>
    <w:rsid w:val="00573336"/>
    <w:rsid w:val="005735B5"/>
    <w:rsid w:val="005739DF"/>
    <w:rsid w:val="00573FD3"/>
    <w:rsid w:val="005741C9"/>
    <w:rsid w:val="00574508"/>
    <w:rsid w:val="005748E4"/>
    <w:rsid w:val="00574E99"/>
    <w:rsid w:val="005752AB"/>
    <w:rsid w:val="0057536E"/>
    <w:rsid w:val="005759BB"/>
    <w:rsid w:val="005764BB"/>
    <w:rsid w:val="00576E21"/>
    <w:rsid w:val="00576EB0"/>
    <w:rsid w:val="00576EFF"/>
    <w:rsid w:val="0057709E"/>
    <w:rsid w:val="005774AD"/>
    <w:rsid w:val="005778E3"/>
    <w:rsid w:val="00577AC2"/>
    <w:rsid w:val="00577ADB"/>
    <w:rsid w:val="00577C5B"/>
    <w:rsid w:val="00577EE0"/>
    <w:rsid w:val="0058003C"/>
    <w:rsid w:val="0058009E"/>
    <w:rsid w:val="00580417"/>
    <w:rsid w:val="0058078D"/>
    <w:rsid w:val="00580E07"/>
    <w:rsid w:val="00580FA4"/>
    <w:rsid w:val="00580FC4"/>
    <w:rsid w:val="00581414"/>
    <w:rsid w:val="0058167E"/>
    <w:rsid w:val="00581A26"/>
    <w:rsid w:val="00582039"/>
    <w:rsid w:val="00582687"/>
    <w:rsid w:val="005828B6"/>
    <w:rsid w:val="005828FC"/>
    <w:rsid w:val="0058293E"/>
    <w:rsid w:val="00582A15"/>
    <w:rsid w:val="00583007"/>
    <w:rsid w:val="005830F2"/>
    <w:rsid w:val="005833A4"/>
    <w:rsid w:val="00583683"/>
    <w:rsid w:val="005838EC"/>
    <w:rsid w:val="0058399E"/>
    <w:rsid w:val="00583DD6"/>
    <w:rsid w:val="005845C4"/>
    <w:rsid w:val="00584C7E"/>
    <w:rsid w:val="00584DD3"/>
    <w:rsid w:val="00584E1C"/>
    <w:rsid w:val="005852FA"/>
    <w:rsid w:val="0058549D"/>
    <w:rsid w:val="00585B01"/>
    <w:rsid w:val="00585D7F"/>
    <w:rsid w:val="00585FA4"/>
    <w:rsid w:val="005862C6"/>
    <w:rsid w:val="0058647F"/>
    <w:rsid w:val="005866FE"/>
    <w:rsid w:val="0058681A"/>
    <w:rsid w:val="00586C6C"/>
    <w:rsid w:val="00586D42"/>
    <w:rsid w:val="00586DE0"/>
    <w:rsid w:val="00587340"/>
    <w:rsid w:val="005876B6"/>
    <w:rsid w:val="005876F4"/>
    <w:rsid w:val="00587DD2"/>
    <w:rsid w:val="005901A8"/>
    <w:rsid w:val="00590305"/>
    <w:rsid w:val="00590903"/>
    <w:rsid w:val="00590B2C"/>
    <w:rsid w:val="0059183E"/>
    <w:rsid w:val="00591AFF"/>
    <w:rsid w:val="00592172"/>
    <w:rsid w:val="00592893"/>
    <w:rsid w:val="00592908"/>
    <w:rsid w:val="00592C8F"/>
    <w:rsid w:val="00592CD7"/>
    <w:rsid w:val="00592E74"/>
    <w:rsid w:val="00593550"/>
    <w:rsid w:val="00593C60"/>
    <w:rsid w:val="00593DBE"/>
    <w:rsid w:val="00593F05"/>
    <w:rsid w:val="005940A3"/>
    <w:rsid w:val="00594105"/>
    <w:rsid w:val="0059434C"/>
    <w:rsid w:val="00594358"/>
    <w:rsid w:val="005945B6"/>
    <w:rsid w:val="00594882"/>
    <w:rsid w:val="0059493F"/>
    <w:rsid w:val="00594A0A"/>
    <w:rsid w:val="00594A7E"/>
    <w:rsid w:val="00594BFD"/>
    <w:rsid w:val="00594F2D"/>
    <w:rsid w:val="00594F8B"/>
    <w:rsid w:val="0059504C"/>
    <w:rsid w:val="00595057"/>
    <w:rsid w:val="005950E9"/>
    <w:rsid w:val="00595127"/>
    <w:rsid w:val="005955FF"/>
    <w:rsid w:val="0059560F"/>
    <w:rsid w:val="00595B3C"/>
    <w:rsid w:val="00595B77"/>
    <w:rsid w:val="00595E37"/>
    <w:rsid w:val="0059661D"/>
    <w:rsid w:val="0059666E"/>
    <w:rsid w:val="00597068"/>
    <w:rsid w:val="00597255"/>
    <w:rsid w:val="00597344"/>
    <w:rsid w:val="0059786E"/>
    <w:rsid w:val="005979E9"/>
    <w:rsid w:val="005A0153"/>
    <w:rsid w:val="005A02F1"/>
    <w:rsid w:val="005A05B8"/>
    <w:rsid w:val="005A0F1A"/>
    <w:rsid w:val="005A103B"/>
    <w:rsid w:val="005A1265"/>
    <w:rsid w:val="005A191C"/>
    <w:rsid w:val="005A2164"/>
    <w:rsid w:val="005A2582"/>
    <w:rsid w:val="005A283C"/>
    <w:rsid w:val="005A2B0B"/>
    <w:rsid w:val="005A2F36"/>
    <w:rsid w:val="005A3292"/>
    <w:rsid w:val="005A3350"/>
    <w:rsid w:val="005A335E"/>
    <w:rsid w:val="005A3469"/>
    <w:rsid w:val="005A37CA"/>
    <w:rsid w:val="005A3916"/>
    <w:rsid w:val="005A3A96"/>
    <w:rsid w:val="005A3CD3"/>
    <w:rsid w:val="005A4825"/>
    <w:rsid w:val="005A4A78"/>
    <w:rsid w:val="005A4CCD"/>
    <w:rsid w:val="005A5299"/>
    <w:rsid w:val="005A59E9"/>
    <w:rsid w:val="005A6B9C"/>
    <w:rsid w:val="005A6ED4"/>
    <w:rsid w:val="005A713A"/>
    <w:rsid w:val="005A7E97"/>
    <w:rsid w:val="005B007B"/>
    <w:rsid w:val="005B018A"/>
    <w:rsid w:val="005B01B6"/>
    <w:rsid w:val="005B0461"/>
    <w:rsid w:val="005B086C"/>
    <w:rsid w:val="005B0939"/>
    <w:rsid w:val="005B0AF6"/>
    <w:rsid w:val="005B0BDC"/>
    <w:rsid w:val="005B0DFC"/>
    <w:rsid w:val="005B0FCF"/>
    <w:rsid w:val="005B110A"/>
    <w:rsid w:val="005B15FE"/>
    <w:rsid w:val="005B1670"/>
    <w:rsid w:val="005B1EE1"/>
    <w:rsid w:val="005B1FAE"/>
    <w:rsid w:val="005B217F"/>
    <w:rsid w:val="005B21BC"/>
    <w:rsid w:val="005B21FA"/>
    <w:rsid w:val="005B2261"/>
    <w:rsid w:val="005B2353"/>
    <w:rsid w:val="005B2967"/>
    <w:rsid w:val="005B2BB3"/>
    <w:rsid w:val="005B2FAC"/>
    <w:rsid w:val="005B325F"/>
    <w:rsid w:val="005B377E"/>
    <w:rsid w:val="005B3783"/>
    <w:rsid w:val="005B37EE"/>
    <w:rsid w:val="005B4072"/>
    <w:rsid w:val="005B4115"/>
    <w:rsid w:val="005B41CD"/>
    <w:rsid w:val="005B4290"/>
    <w:rsid w:val="005B474A"/>
    <w:rsid w:val="005B47EB"/>
    <w:rsid w:val="005B55FF"/>
    <w:rsid w:val="005B5769"/>
    <w:rsid w:val="005B5C01"/>
    <w:rsid w:val="005B5ED6"/>
    <w:rsid w:val="005B5FBD"/>
    <w:rsid w:val="005B602B"/>
    <w:rsid w:val="005B681C"/>
    <w:rsid w:val="005B68C9"/>
    <w:rsid w:val="005B69BB"/>
    <w:rsid w:val="005B6A02"/>
    <w:rsid w:val="005B6D2C"/>
    <w:rsid w:val="005B6FB5"/>
    <w:rsid w:val="005B70CA"/>
    <w:rsid w:val="005B70F2"/>
    <w:rsid w:val="005B7492"/>
    <w:rsid w:val="005B75CF"/>
    <w:rsid w:val="005B7A37"/>
    <w:rsid w:val="005B7AB5"/>
    <w:rsid w:val="005B7F58"/>
    <w:rsid w:val="005C0618"/>
    <w:rsid w:val="005C0913"/>
    <w:rsid w:val="005C0B68"/>
    <w:rsid w:val="005C173A"/>
    <w:rsid w:val="005C17A9"/>
    <w:rsid w:val="005C1E26"/>
    <w:rsid w:val="005C1E96"/>
    <w:rsid w:val="005C1FC2"/>
    <w:rsid w:val="005C2539"/>
    <w:rsid w:val="005C2804"/>
    <w:rsid w:val="005C2829"/>
    <w:rsid w:val="005C2843"/>
    <w:rsid w:val="005C2B00"/>
    <w:rsid w:val="005C2B36"/>
    <w:rsid w:val="005C2BD8"/>
    <w:rsid w:val="005C2D54"/>
    <w:rsid w:val="005C2E5F"/>
    <w:rsid w:val="005C36B2"/>
    <w:rsid w:val="005C3809"/>
    <w:rsid w:val="005C39F2"/>
    <w:rsid w:val="005C3AE2"/>
    <w:rsid w:val="005C3D96"/>
    <w:rsid w:val="005C4052"/>
    <w:rsid w:val="005C4250"/>
    <w:rsid w:val="005C44E3"/>
    <w:rsid w:val="005C4CC5"/>
    <w:rsid w:val="005C4DB4"/>
    <w:rsid w:val="005C54A4"/>
    <w:rsid w:val="005C5511"/>
    <w:rsid w:val="005C5544"/>
    <w:rsid w:val="005C5A46"/>
    <w:rsid w:val="005C5E87"/>
    <w:rsid w:val="005C5F8F"/>
    <w:rsid w:val="005C6B78"/>
    <w:rsid w:val="005C6B8F"/>
    <w:rsid w:val="005C6CB1"/>
    <w:rsid w:val="005C7855"/>
    <w:rsid w:val="005C7CA1"/>
    <w:rsid w:val="005D0DBD"/>
    <w:rsid w:val="005D10A6"/>
    <w:rsid w:val="005D12FD"/>
    <w:rsid w:val="005D1634"/>
    <w:rsid w:val="005D199A"/>
    <w:rsid w:val="005D1BEE"/>
    <w:rsid w:val="005D2610"/>
    <w:rsid w:val="005D2857"/>
    <w:rsid w:val="005D28DD"/>
    <w:rsid w:val="005D2986"/>
    <w:rsid w:val="005D2BCB"/>
    <w:rsid w:val="005D30DF"/>
    <w:rsid w:val="005D3743"/>
    <w:rsid w:val="005D4319"/>
    <w:rsid w:val="005D4468"/>
    <w:rsid w:val="005D4761"/>
    <w:rsid w:val="005D4906"/>
    <w:rsid w:val="005D4B04"/>
    <w:rsid w:val="005D4E22"/>
    <w:rsid w:val="005D4E65"/>
    <w:rsid w:val="005D4FCD"/>
    <w:rsid w:val="005D50E2"/>
    <w:rsid w:val="005D5498"/>
    <w:rsid w:val="005D55E7"/>
    <w:rsid w:val="005D5620"/>
    <w:rsid w:val="005D5887"/>
    <w:rsid w:val="005D6229"/>
    <w:rsid w:val="005D63B0"/>
    <w:rsid w:val="005D6417"/>
    <w:rsid w:val="005D65D6"/>
    <w:rsid w:val="005D68D6"/>
    <w:rsid w:val="005D6B85"/>
    <w:rsid w:val="005D6C19"/>
    <w:rsid w:val="005D6C2F"/>
    <w:rsid w:val="005D6CB0"/>
    <w:rsid w:val="005D6ED7"/>
    <w:rsid w:val="005D7078"/>
    <w:rsid w:val="005D7277"/>
    <w:rsid w:val="005D72E9"/>
    <w:rsid w:val="005D7805"/>
    <w:rsid w:val="005D7D50"/>
    <w:rsid w:val="005D7F2E"/>
    <w:rsid w:val="005E018B"/>
    <w:rsid w:val="005E0471"/>
    <w:rsid w:val="005E0B78"/>
    <w:rsid w:val="005E0DB8"/>
    <w:rsid w:val="005E18E4"/>
    <w:rsid w:val="005E1B75"/>
    <w:rsid w:val="005E2FAA"/>
    <w:rsid w:val="005E31C9"/>
    <w:rsid w:val="005E32FE"/>
    <w:rsid w:val="005E3C92"/>
    <w:rsid w:val="005E3E2D"/>
    <w:rsid w:val="005E3EA8"/>
    <w:rsid w:val="005E4422"/>
    <w:rsid w:val="005E4895"/>
    <w:rsid w:val="005E4FEB"/>
    <w:rsid w:val="005E50FE"/>
    <w:rsid w:val="005E533B"/>
    <w:rsid w:val="005E54A7"/>
    <w:rsid w:val="005E6128"/>
    <w:rsid w:val="005E617E"/>
    <w:rsid w:val="005E63C8"/>
    <w:rsid w:val="005E6789"/>
    <w:rsid w:val="005E6847"/>
    <w:rsid w:val="005E694C"/>
    <w:rsid w:val="005E6C07"/>
    <w:rsid w:val="005E793D"/>
    <w:rsid w:val="005F0366"/>
    <w:rsid w:val="005F0388"/>
    <w:rsid w:val="005F0488"/>
    <w:rsid w:val="005F063C"/>
    <w:rsid w:val="005F0754"/>
    <w:rsid w:val="005F0A3C"/>
    <w:rsid w:val="005F11B5"/>
    <w:rsid w:val="005F1289"/>
    <w:rsid w:val="005F132B"/>
    <w:rsid w:val="005F15EE"/>
    <w:rsid w:val="005F20FC"/>
    <w:rsid w:val="005F279A"/>
    <w:rsid w:val="005F2A9B"/>
    <w:rsid w:val="005F3013"/>
    <w:rsid w:val="005F3033"/>
    <w:rsid w:val="005F32F3"/>
    <w:rsid w:val="005F4086"/>
    <w:rsid w:val="005F41F4"/>
    <w:rsid w:val="005F4343"/>
    <w:rsid w:val="005F4A0E"/>
    <w:rsid w:val="005F4DA6"/>
    <w:rsid w:val="005F4E54"/>
    <w:rsid w:val="005F509E"/>
    <w:rsid w:val="005F5181"/>
    <w:rsid w:val="005F521D"/>
    <w:rsid w:val="005F5788"/>
    <w:rsid w:val="005F58C7"/>
    <w:rsid w:val="005F5CD5"/>
    <w:rsid w:val="005F6016"/>
    <w:rsid w:val="005F605A"/>
    <w:rsid w:val="005F6687"/>
    <w:rsid w:val="005F687A"/>
    <w:rsid w:val="005F6CBC"/>
    <w:rsid w:val="005F6D54"/>
    <w:rsid w:val="005F7035"/>
    <w:rsid w:val="005F711C"/>
    <w:rsid w:val="005F7663"/>
    <w:rsid w:val="005F7F8E"/>
    <w:rsid w:val="00600D4C"/>
    <w:rsid w:val="00600FCA"/>
    <w:rsid w:val="00601017"/>
    <w:rsid w:val="00601B3C"/>
    <w:rsid w:val="00601E86"/>
    <w:rsid w:val="00601EB9"/>
    <w:rsid w:val="00602262"/>
    <w:rsid w:val="00602360"/>
    <w:rsid w:val="006029B6"/>
    <w:rsid w:val="00602B21"/>
    <w:rsid w:val="00602FCB"/>
    <w:rsid w:val="00603391"/>
    <w:rsid w:val="00603AA7"/>
    <w:rsid w:val="00604679"/>
    <w:rsid w:val="006046EB"/>
    <w:rsid w:val="0060478A"/>
    <w:rsid w:val="006047E4"/>
    <w:rsid w:val="0060481B"/>
    <w:rsid w:val="00604DD9"/>
    <w:rsid w:val="00604E25"/>
    <w:rsid w:val="00605816"/>
    <w:rsid w:val="00605A6C"/>
    <w:rsid w:val="00605CAD"/>
    <w:rsid w:val="00605EBC"/>
    <w:rsid w:val="00605EF6"/>
    <w:rsid w:val="00606493"/>
    <w:rsid w:val="00606B5B"/>
    <w:rsid w:val="00606CF2"/>
    <w:rsid w:val="006074E2"/>
    <w:rsid w:val="0060760E"/>
    <w:rsid w:val="00607DFA"/>
    <w:rsid w:val="006102A3"/>
    <w:rsid w:val="006106E3"/>
    <w:rsid w:val="006108A9"/>
    <w:rsid w:val="00610B40"/>
    <w:rsid w:val="00610D54"/>
    <w:rsid w:val="00610E5C"/>
    <w:rsid w:val="0061180C"/>
    <w:rsid w:val="0061188F"/>
    <w:rsid w:val="00611C7E"/>
    <w:rsid w:val="00612551"/>
    <w:rsid w:val="0061259D"/>
    <w:rsid w:val="006126D6"/>
    <w:rsid w:val="0061279F"/>
    <w:rsid w:val="006128A0"/>
    <w:rsid w:val="00612B4C"/>
    <w:rsid w:val="00612BF4"/>
    <w:rsid w:val="00612C21"/>
    <w:rsid w:val="00612D0B"/>
    <w:rsid w:val="00612DFE"/>
    <w:rsid w:val="00612F3A"/>
    <w:rsid w:val="00613129"/>
    <w:rsid w:val="00613EB7"/>
    <w:rsid w:val="00613F5B"/>
    <w:rsid w:val="006143BB"/>
    <w:rsid w:val="00614AE7"/>
    <w:rsid w:val="00614B8B"/>
    <w:rsid w:val="006151ED"/>
    <w:rsid w:val="006156C1"/>
    <w:rsid w:val="00615966"/>
    <w:rsid w:val="00615AEC"/>
    <w:rsid w:val="00615BE2"/>
    <w:rsid w:val="00615D37"/>
    <w:rsid w:val="00615FF7"/>
    <w:rsid w:val="0061605D"/>
    <w:rsid w:val="006165DE"/>
    <w:rsid w:val="006167BC"/>
    <w:rsid w:val="0061733F"/>
    <w:rsid w:val="00617A5F"/>
    <w:rsid w:val="0062025E"/>
    <w:rsid w:val="0062080D"/>
    <w:rsid w:val="00620C12"/>
    <w:rsid w:val="006210DD"/>
    <w:rsid w:val="006216B2"/>
    <w:rsid w:val="0062171D"/>
    <w:rsid w:val="00621EE6"/>
    <w:rsid w:val="006221E5"/>
    <w:rsid w:val="006228F5"/>
    <w:rsid w:val="00622986"/>
    <w:rsid w:val="00622EE8"/>
    <w:rsid w:val="006233B0"/>
    <w:rsid w:val="00623A1E"/>
    <w:rsid w:val="00623C82"/>
    <w:rsid w:val="00624055"/>
    <w:rsid w:val="006240C2"/>
    <w:rsid w:val="0062416B"/>
    <w:rsid w:val="00624779"/>
    <w:rsid w:val="00624B7A"/>
    <w:rsid w:val="00624F8E"/>
    <w:rsid w:val="0062512A"/>
    <w:rsid w:val="006251E3"/>
    <w:rsid w:val="00625579"/>
    <w:rsid w:val="00625BC9"/>
    <w:rsid w:val="0062607C"/>
    <w:rsid w:val="006269D2"/>
    <w:rsid w:val="00626FE1"/>
    <w:rsid w:val="00627683"/>
    <w:rsid w:val="00627857"/>
    <w:rsid w:val="00627D8B"/>
    <w:rsid w:val="00627E70"/>
    <w:rsid w:val="00627E94"/>
    <w:rsid w:val="00627EF6"/>
    <w:rsid w:val="00627FF6"/>
    <w:rsid w:val="006309A3"/>
    <w:rsid w:val="00630A0D"/>
    <w:rsid w:val="00630B9B"/>
    <w:rsid w:val="00630E49"/>
    <w:rsid w:val="00630E97"/>
    <w:rsid w:val="00630E98"/>
    <w:rsid w:val="00630FB9"/>
    <w:rsid w:val="006312C5"/>
    <w:rsid w:val="00631620"/>
    <w:rsid w:val="0063166D"/>
    <w:rsid w:val="006319A6"/>
    <w:rsid w:val="006321B7"/>
    <w:rsid w:val="00632399"/>
    <w:rsid w:val="006326C2"/>
    <w:rsid w:val="00632979"/>
    <w:rsid w:val="00633041"/>
    <w:rsid w:val="006331AA"/>
    <w:rsid w:val="00633231"/>
    <w:rsid w:val="006337E6"/>
    <w:rsid w:val="00633B70"/>
    <w:rsid w:val="006342CF"/>
    <w:rsid w:val="006343EB"/>
    <w:rsid w:val="00634A39"/>
    <w:rsid w:val="00634B9E"/>
    <w:rsid w:val="00634CFE"/>
    <w:rsid w:val="00634DB9"/>
    <w:rsid w:val="00634FB8"/>
    <w:rsid w:val="0063524F"/>
    <w:rsid w:val="00635576"/>
    <w:rsid w:val="006357A3"/>
    <w:rsid w:val="00635B65"/>
    <w:rsid w:val="00635CA4"/>
    <w:rsid w:val="00635E33"/>
    <w:rsid w:val="00635F25"/>
    <w:rsid w:val="00636054"/>
    <w:rsid w:val="0063612D"/>
    <w:rsid w:val="00636C1D"/>
    <w:rsid w:val="00636FC8"/>
    <w:rsid w:val="00637C1E"/>
    <w:rsid w:val="00637CF1"/>
    <w:rsid w:val="00640264"/>
    <w:rsid w:val="00640415"/>
    <w:rsid w:val="006410DC"/>
    <w:rsid w:val="006412D7"/>
    <w:rsid w:val="00641791"/>
    <w:rsid w:val="00641E01"/>
    <w:rsid w:val="00641EFD"/>
    <w:rsid w:val="00642049"/>
    <w:rsid w:val="006423E9"/>
    <w:rsid w:val="00642500"/>
    <w:rsid w:val="00642811"/>
    <w:rsid w:val="00642F68"/>
    <w:rsid w:val="006431C0"/>
    <w:rsid w:val="006432B9"/>
    <w:rsid w:val="0064389C"/>
    <w:rsid w:val="00643B41"/>
    <w:rsid w:val="00643F01"/>
    <w:rsid w:val="00644048"/>
    <w:rsid w:val="00644116"/>
    <w:rsid w:val="0064412C"/>
    <w:rsid w:val="006441C3"/>
    <w:rsid w:val="00644D23"/>
    <w:rsid w:val="00645378"/>
    <w:rsid w:val="006453E4"/>
    <w:rsid w:val="006453EB"/>
    <w:rsid w:val="006456B7"/>
    <w:rsid w:val="00645730"/>
    <w:rsid w:val="00645A92"/>
    <w:rsid w:val="00645B2D"/>
    <w:rsid w:val="00645BAB"/>
    <w:rsid w:val="00645F7C"/>
    <w:rsid w:val="00645FF3"/>
    <w:rsid w:val="00646048"/>
    <w:rsid w:val="006460DF"/>
    <w:rsid w:val="0064614F"/>
    <w:rsid w:val="006468B8"/>
    <w:rsid w:val="00646CD8"/>
    <w:rsid w:val="00646CFD"/>
    <w:rsid w:val="00646F3E"/>
    <w:rsid w:val="00647271"/>
    <w:rsid w:val="00647661"/>
    <w:rsid w:val="006476B5"/>
    <w:rsid w:val="00647AB4"/>
    <w:rsid w:val="00647B1A"/>
    <w:rsid w:val="00647E40"/>
    <w:rsid w:val="00647F65"/>
    <w:rsid w:val="006503B2"/>
    <w:rsid w:val="0065051D"/>
    <w:rsid w:val="00650555"/>
    <w:rsid w:val="0065064B"/>
    <w:rsid w:val="0065075B"/>
    <w:rsid w:val="006511BC"/>
    <w:rsid w:val="00651316"/>
    <w:rsid w:val="00651753"/>
    <w:rsid w:val="0065175E"/>
    <w:rsid w:val="00651786"/>
    <w:rsid w:val="00651A19"/>
    <w:rsid w:val="00651B82"/>
    <w:rsid w:val="00651C17"/>
    <w:rsid w:val="00651CE8"/>
    <w:rsid w:val="00652302"/>
    <w:rsid w:val="00652729"/>
    <w:rsid w:val="006528E3"/>
    <w:rsid w:val="00652BA9"/>
    <w:rsid w:val="00652D25"/>
    <w:rsid w:val="00653410"/>
    <w:rsid w:val="00653B41"/>
    <w:rsid w:val="00653C89"/>
    <w:rsid w:val="00653CB8"/>
    <w:rsid w:val="00653E95"/>
    <w:rsid w:val="00654311"/>
    <w:rsid w:val="00654556"/>
    <w:rsid w:val="006546EB"/>
    <w:rsid w:val="00654760"/>
    <w:rsid w:val="006552A1"/>
    <w:rsid w:val="00655633"/>
    <w:rsid w:val="006560B3"/>
    <w:rsid w:val="0065616E"/>
    <w:rsid w:val="006561D0"/>
    <w:rsid w:val="0065658E"/>
    <w:rsid w:val="0065669B"/>
    <w:rsid w:val="00656CD1"/>
    <w:rsid w:val="0065705F"/>
    <w:rsid w:val="00657218"/>
    <w:rsid w:val="0065722C"/>
    <w:rsid w:val="00657645"/>
    <w:rsid w:val="006576F8"/>
    <w:rsid w:val="00657833"/>
    <w:rsid w:val="00657ED9"/>
    <w:rsid w:val="00660368"/>
    <w:rsid w:val="006614F5"/>
    <w:rsid w:val="006617B0"/>
    <w:rsid w:val="006619C9"/>
    <w:rsid w:val="00661A26"/>
    <w:rsid w:val="0066276F"/>
    <w:rsid w:val="006627D6"/>
    <w:rsid w:val="00662A45"/>
    <w:rsid w:val="00662EA5"/>
    <w:rsid w:val="006632C1"/>
    <w:rsid w:val="0066355D"/>
    <w:rsid w:val="006638BC"/>
    <w:rsid w:val="00663DB1"/>
    <w:rsid w:val="00664279"/>
    <w:rsid w:val="006642CA"/>
    <w:rsid w:val="006652F4"/>
    <w:rsid w:val="006654D4"/>
    <w:rsid w:val="006657BA"/>
    <w:rsid w:val="00665C05"/>
    <w:rsid w:val="00666628"/>
    <w:rsid w:val="00666DAE"/>
    <w:rsid w:val="00666EA3"/>
    <w:rsid w:val="00667105"/>
    <w:rsid w:val="00670214"/>
    <w:rsid w:val="00670419"/>
    <w:rsid w:val="00670498"/>
    <w:rsid w:val="00670624"/>
    <w:rsid w:val="00670E0F"/>
    <w:rsid w:val="00671105"/>
    <w:rsid w:val="00671227"/>
    <w:rsid w:val="006715B7"/>
    <w:rsid w:val="006718E4"/>
    <w:rsid w:val="00671D6D"/>
    <w:rsid w:val="00671E5F"/>
    <w:rsid w:val="00671FA7"/>
    <w:rsid w:val="006722CB"/>
    <w:rsid w:val="006723EA"/>
    <w:rsid w:val="006729DF"/>
    <w:rsid w:val="00672A2C"/>
    <w:rsid w:val="00672BDA"/>
    <w:rsid w:val="00672F49"/>
    <w:rsid w:val="00672F85"/>
    <w:rsid w:val="006730A9"/>
    <w:rsid w:val="00673A40"/>
    <w:rsid w:val="00673FA3"/>
    <w:rsid w:val="0067461A"/>
    <w:rsid w:val="0067476B"/>
    <w:rsid w:val="00674839"/>
    <w:rsid w:val="0067491D"/>
    <w:rsid w:val="00674EF5"/>
    <w:rsid w:val="006756B3"/>
    <w:rsid w:val="00675772"/>
    <w:rsid w:val="006759D2"/>
    <w:rsid w:val="00675E7D"/>
    <w:rsid w:val="00675EDB"/>
    <w:rsid w:val="006766C2"/>
    <w:rsid w:val="006767B6"/>
    <w:rsid w:val="00676AD9"/>
    <w:rsid w:val="00676F1B"/>
    <w:rsid w:val="006771CE"/>
    <w:rsid w:val="006771FD"/>
    <w:rsid w:val="006802AA"/>
    <w:rsid w:val="006803A3"/>
    <w:rsid w:val="00680459"/>
    <w:rsid w:val="00680575"/>
    <w:rsid w:val="006805BC"/>
    <w:rsid w:val="00680725"/>
    <w:rsid w:val="006808E3"/>
    <w:rsid w:val="00680A1D"/>
    <w:rsid w:val="00680ADA"/>
    <w:rsid w:val="00680CC6"/>
    <w:rsid w:val="00680D30"/>
    <w:rsid w:val="00680DC5"/>
    <w:rsid w:val="00680F7A"/>
    <w:rsid w:val="00681079"/>
    <w:rsid w:val="0068107D"/>
    <w:rsid w:val="0068188E"/>
    <w:rsid w:val="00681A30"/>
    <w:rsid w:val="00681CF9"/>
    <w:rsid w:val="00681FD5"/>
    <w:rsid w:val="00682768"/>
    <w:rsid w:val="00682C9C"/>
    <w:rsid w:val="00682D6E"/>
    <w:rsid w:val="00682E3E"/>
    <w:rsid w:val="00683825"/>
    <w:rsid w:val="006838A1"/>
    <w:rsid w:val="00683E34"/>
    <w:rsid w:val="006846E0"/>
    <w:rsid w:val="006854A2"/>
    <w:rsid w:val="006857C5"/>
    <w:rsid w:val="00685AC5"/>
    <w:rsid w:val="00685EC2"/>
    <w:rsid w:val="00686050"/>
    <w:rsid w:val="006861F0"/>
    <w:rsid w:val="0068671A"/>
    <w:rsid w:val="00686A7C"/>
    <w:rsid w:val="00686D0A"/>
    <w:rsid w:val="00686EE8"/>
    <w:rsid w:val="00687375"/>
    <w:rsid w:val="0068777F"/>
    <w:rsid w:val="00687D45"/>
    <w:rsid w:val="00687E70"/>
    <w:rsid w:val="00687F32"/>
    <w:rsid w:val="00687FBF"/>
    <w:rsid w:val="0069038B"/>
    <w:rsid w:val="0069064F"/>
    <w:rsid w:val="00691249"/>
    <w:rsid w:val="006917D4"/>
    <w:rsid w:val="006919D2"/>
    <w:rsid w:val="00691ABC"/>
    <w:rsid w:val="00691FCA"/>
    <w:rsid w:val="00692318"/>
    <w:rsid w:val="00692500"/>
    <w:rsid w:val="0069293E"/>
    <w:rsid w:val="006935A8"/>
    <w:rsid w:val="00693B47"/>
    <w:rsid w:val="00693D9C"/>
    <w:rsid w:val="00693ECB"/>
    <w:rsid w:val="00694137"/>
    <w:rsid w:val="006942E7"/>
    <w:rsid w:val="00694553"/>
    <w:rsid w:val="0069473A"/>
    <w:rsid w:val="00695178"/>
    <w:rsid w:val="00695A43"/>
    <w:rsid w:val="0069613D"/>
    <w:rsid w:val="00696182"/>
    <w:rsid w:val="0069662D"/>
    <w:rsid w:val="0069698C"/>
    <w:rsid w:val="00697063"/>
    <w:rsid w:val="00697218"/>
    <w:rsid w:val="0069770C"/>
    <w:rsid w:val="00697B21"/>
    <w:rsid w:val="00697CD6"/>
    <w:rsid w:val="00697DB7"/>
    <w:rsid w:val="006A018A"/>
    <w:rsid w:val="006A0515"/>
    <w:rsid w:val="006A0690"/>
    <w:rsid w:val="006A0944"/>
    <w:rsid w:val="006A0BD6"/>
    <w:rsid w:val="006A0E84"/>
    <w:rsid w:val="006A1858"/>
    <w:rsid w:val="006A18D4"/>
    <w:rsid w:val="006A2145"/>
    <w:rsid w:val="006A21E4"/>
    <w:rsid w:val="006A237E"/>
    <w:rsid w:val="006A2568"/>
    <w:rsid w:val="006A2769"/>
    <w:rsid w:val="006A284B"/>
    <w:rsid w:val="006A2858"/>
    <w:rsid w:val="006A2A32"/>
    <w:rsid w:val="006A2CBA"/>
    <w:rsid w:val="006A2FAF"/>
    <w:rsid w:val="006A30D7"/>
    <w:rsid w:val="006A321C"/>
    <w:rsid w:val="006A3252"/>
    <w:rsid w:val="006A3361"/>
    <w:rsid w:val="006A3887"/>
    <w:rsid w:val="006A4109"/>
    <w:rsid w:val="006A43BC"/>
    <w:rsid w:val="006A481F"/>
    <w:rsid w:val="006A4B07"/>
    <w:rsid w:val="006A4F12"/>
    <w:rsid w:val="006A550E"/>
    <w:rsid w:val="006A5761"/>
    <w:rsid w:val="006A5850"/>
    <w:rsid w:val="006A59B7"/>
    <w:rsid w:val="006A5FE2"/>
    <w:rsid w:val="006A605E"/>
    <w:rsid w:val="006A6137"/>
    <w:rsid w:val="006A6418"/>
    <w:rsid w:val="006A668E"/>
    <w:rsid w:val="006A6825"/>
    <w:rsid w:val="006A6A49"/>
    <w:rsid w:val="006A6D1A"/>
    <w:rsid w:val="006A6D55"/>
    <w:rsid w:val="006A75ED"/>
    <w:rsid w:val="006A78B0"/>
    <w:rsid w:val="006A7E3E"/>
    <w:rsid w:val="006B0089"/>
    <w:rsid w:val="006B00B9"/>
    <w:rsid w:val="006B06F4"/>
    <w:rsid w:val="006B07C6"/>
    <w:rsid w:val="006B0A8D"/>
    <w:rsid w:val="006B0C33"/>
    <w:rsid w:val="006B0CF5"/>
    <w:rsid w:val="006B1047"/>
    <w:rsid w:val="006B155F"/>
    <w:rsid w:val="006B161E"/>
    <w:rsid w:val="006B22CD"/>
    <w:rsid w:val="006B23F6"/>
    <w:rsid w:val="006B24A2"/>
    <w:rsid w:val="006B2509"/>
    <w:rsid w:val="006B2692"/>
    <w:rsid w:val="006B2AC3"/>
    <w:rsid w:val="006B2AEE"/>
    <w:rsid w:val="006B30BB"/>
    <w:rsid w:val="006B37A8"/>
    <w:rsid w:val="006B42D9"/>
    <w:rsid w:val="006B458D"/>
    <w:rsid w:val="006B52F2"/>
    <w:rsid w:val="006B5D9C"/>
    <w:rsid w:val="006B5EBF"/>
    <w:rsid w:val="006B5F8D"/>
    <w:rsid w:val="006B6057"/>
    <w:rsid w:val="006B605E"/>
    <w:rsid w:val="006B6072"/>
    <w:rsid w:val="006B6801"/>
    <w:rsid w:val="006B6FC5"/>
    <w:rsid w:val="006B760F"/>
    <w:rsid w:val="006B7CD0"/>
    <w:rsid w:val="006B7D0A"/>
    <w:rsid w:val="006B7E22"/>
    <w:rsid w:val="006C0728"/>
    <w:rsid w:val="006C0BBD"/>
    <w:rsid w:val="006C0D1C"/>
    <w:rsid w:val="006C0FF1"/>
    <w:rsid w:val="006C21F2"/>
    <w:rsid w:val="006C2627"/>
    <w:rsid w:val="006C2664"/>
    <w:rsid w:val="006C273E"/>
    <w:rsid w:val="006C277A"/>
    <w:rsid w:val="006C28B6"/>
    <w:rsid w:val="006C28BF"/>
    <w:rsid w:val="006C2A56"/>
    <w:rsid w:val="006C31C1"/>
    <w:rsid w:val="006C36BD"/>
    <w:rsid w:val="006C3909"/>
    <w:rsid w:val="006C3B49"/>
    <w:rsid w:val="006C3BB7"/>
    <w:rsid w:val="006C49B1"/>
    <w:rsid w:val="006C50A5"/>
    <w:rsid w:val="006C51BA"/>
    <w:rsid w:val="006C523D"/>
    <w:rsid w:val="006C58A1"/>
    <w:rsid w:val="006C58B8"/>
    <w:rsid w:val="006C5E8C"/>
    <w:rsid w:val="006C659F"/>
    <w:rsid w:val="006C6745"/>
    <w:rsid w:val="006C7AAF"/>
    <w:rsid w:val="006C7E90"/>
    <w:rsid w:val="006D064B"/>
    <w:rsid w:val="006D08B8"/>
    <w:rsid w:val="006D0911"/>
    <w:rsid w:val="006D09F4"/>
    <w:rsid w:val="006D0EB8"/>
    <w:rsid w:val="006D0F75"/>
    <w:rsid w:val="006D1A2B"/>
    <w:rsid w:val="006D1F8D"/>
    <w:rsid w:val="006D2152"/>
    <w:rsid w:val="006D260B"/>
    <w:rsid w:val="006D2751"/>
    <w:rsid w:val="006D2A01"/>
    <w:rsid w:val="006D2A48"/>
    <w:rsid w:val="006D2D5A"/>
    <w:rsid w:val="006D3138"/>
    <w:rsid w:val="006D3202"/>
    <w:rsid w:val="006D36E6"/>
    <w:rsid w:val="006D3965"/>
    <w:rsid w:val="006D3A12"/>
    <w:rsid w:val="006D40F5"/>
    <w:rsid w:val="006D41EF"/>
    <w:rsid w:val="006D4A5C"/>
    <w:rsid w:val="006D4B2E"/>
    <w:rsid w:val="006D5679"/>
    <w:rsid w:val="006D5C7A"/>
    <w:rsid w:val="006D5DC9"/>
    <w:rsid w:val="006D5DCA"/>
    <w:rsid w:val="006D61CB"/>
    <w:rsid w:val="006D657B"/>
    <w:rsid w:val="006D65E2"/>
    <w:rsid w:val="006D671F"/>
    <w:rsid w:val="006D68C4"/>
    <w:rsid w:val="006D68E3"/>
    <w:rsid w:val="006D699B"/>
    <w:rsid w:val="006D6E40"/>
    <w:rsid w:val="006D72E9"/>
    <w:rsid w:val="006D7EC5"/>
    <w:rsid w:val="006E0335"/>
    <w:rsid w:val="006E0939"/>
    <w:rsid w:val="006E0A4D"/>
    <w:rsid w:val="006E1054"/>
    <w:rsid w:val="006E1125"/>
    <w:rsid w:val="006E11B0"/>
    <w:rsid w:val="006E17BE"/>
    <w:rsid w:val="006E1CBF"/>
    <w:rsid w:val="006E1FF9"/>
    <w:rsid w:val="006E21DE"/>
    <w:rsid w:val="006E2243"/>
    <w:rsid w:val="006E2734"/>
    <w:rsid w:val="006E2AEE"/>
    <w:rsid w:val="006E2AFB"/>
    <w:rsid w:val="006E3039"/>
    <w:rsid w:val="006E339A"/>
    <w:rsid w:val="006E37DF"/>
    <w:rsid w:val="006E40DE"/>
    <w:rsid w:val="006E4195"/>
    <w:rsid w:val="006E41E9"/>
    <w:rsid w:val="006E47E7"/>
    <w:rsid w:val="006E4ED8"/>
    <w:rsid w:val="006E5346"/>
    <w:rsid w:val="006E57A0"/>
    <w:rsid w:val="006E5EF0"/>
    <w:rsid w:val="006E5EF6"/>
    <w:rsid w:val="006E613C"/>
    <w:rsid w:val="006E6891"/>
    <w:rsid w:val="006E6D8D"/>
    <w:rsid w:val="006E72DC"/>
    <w:rsid w:val="006E7506"/>
    <w:rsid w:val="006E7D3A"/>
    <w:rsid w:val="006F005B"/>
    <w:rsid w:val="006F019A"/>
    <w:rsid w:val="006F0CE5"/>
    <w:rsid w:val="006F1470"/>
    <w:rsid w:val="006F194B"/>
    <w:rsid w:val="006F1B35"/>
    <w:rsid w:val="006F1D74"/>
    <w:rsid w:val="006F1D79"/>
    <w:rsid w:val="006F1E5C"/>
    <w:rsid w:val="006F20E6"/>
    <w:rsid w:val="006F214E"/>
    <w:rsid w:val="006F2FE2"/>
    <w:rsid w:val="006F39F6"/>
    <w:rsid w:val="006F3DD2"/>
    <w:rsid w:val="006F4396"/>
    <w:rsid w:val="006F45BF"/>
    <w:rsid w:val="006F518F"/>
    <w:rsid w:val="006F5637"/>
    <w:rsid w:val="006F582C"/>
    <w:rsid w:val="006F613E"/>
    <w:rsid w:val="006F6754"/>
    <w:rsid w:val="006F6D4A"/>
    <w:rsid w:val="006F73B5"/>
    <w:rsid w:val="006F7CAF"/>
    <w:rsid w:val="007000F4"/>
    <w:rsid w:val="007001D0"/>
    <w:rsid w:val="00700454"/>
    <w:rsid w:val="00700770"/>
    <w:rsid w:val="007010A6"/>
    <w:rsid w:val="007014DB"/>
    <w:rsid w:val="00701851"/>
    <w:rsid w:val="00701C17"/>
    <w:rsid w:val="00701F61"/>
    <w:rsid w:val="00701FEF"/>
    <w:rsid w:val="0070203F"/>
    <w:rsid w:val="00702221"/>
    <w:rsid w:val="007026EC"/>
    <w:rsid w:val="00702C8F"/>
    <w:rsid w:val="0070333B"/>
    <w:rsid w:val="00703556"/>
    <w:rsid w:val="00703B52"/>
    <w:rsid w:val="007040BF"/>
    <w:rsid w:val="00704197"/>
    <w:rsid w:val="007043E8"/>
    <w:rsid w:val="007045E6"/>
    <w:rsid w:val="00704643"/>
    <w:rsid w:val="007048DD"/>
    <w:rsid w:val="00704B6C"/>
    <w:rsid w:val="00704F7A"/>
    <w:rsid w:val="00705201"/>
    <w:rsid w:val="00705282"/>
    <w:rsid w:val="007054DF"/>
    <w:rsid w:val="00705A8E"/>
    <w:rsid w:val="00705B49"/>
    <w:rsid w:val="00705F4F"/>
    <w:rsid w:val="0070621C"/>
    <w:rsid w:val="0070635B"/>
    <w:rsid w:val="007065A2"/>
    <w:rsid w:val="0070674A"/>
    <w:rsid w:val="0070678E"/>
    <w:rsid w:val="0070732C"/>
    <w:rsid w:val="00707684"/>
    <w:rsid w:val="007076B4"/>
    <w:rsid w:val="00707D54"/>
    <w:rsid w:val="00710371"/>
    <w:rsid w:val="0071092D"/>
    <w:rsid w:val="00710C27"/>
    <w:rsid w:val="00710CF7"/>
    <w:rsid w:val="00710E47"/>
    <w:rsid w:val="00711174"/>
    <w:rsid w:val="00711510"/>
    <w:rsid w:val="00711CF5"/>
    <w:rsid w:val="00711F64"/>
    <w:rsid w:val="00711F7C"/>
    <w:rsid w:val="007121BC"/>
    <w:rsid w:val="00712455"/>
    <w:rsid w:val="00712E8F"/>
    <w:rsid w:val="00713150"/>
    <w:rsid w:val="0071329A"/>
    <w:rsid w:val="0071332C"/>
    <w:rsid w:val="00713667"/>
    <w:rsid w:val="007137BC"/>
    <w:rsid w:val="007139E4"/>
    <w:rsid w:val="00713DD3"/>
    <w:rsid w:val="00713EDC"/>
    <w:rsid w:val="00714495"/>
    <w:rsid w:val="00714615"/>
    <w:rsid w:val="007146F9"/>
    <w:rsid w:val="007153F3"/>
    <w:rsid w:val="0071561C"/>
    <w:rsid w:val="00715724"/>
    <w:rsid w:val="00715793"/>
    <w:rsid w:val="007159A2"/>
    <w:rsid w:val="00715A68"/>
    <w:rsid w:val="00715AB9"/>
    <w:rsid w:val="00715DCC"/>
    <w:rsid w:val="00715E30"/>
    <w:rsid w:val="00715F38"/>
    <w:rsid w:val="00715FAD"/>
    <w:rsid w:val="00716C5A"/>
    <w:rsid w:val="00716EFD"/>
    <w:rsid w:val="00716FD1"/>
    <w:rsid w:val="007171D0"/>
    <w:rsid w:val="00717445"/>
    <w:rsid w:val="00717890"/>
    <w:rsid w:val="00717BC7"/>
    <w:rsid w:val="00717C35"/>
    <w:rsid w:val="00717E09"/>
    <w:rsid w:val="00720071"/>
    <w:rsid w:val="007202DA"/>
    <w:rsid w:val="007215DD"/>
    <w:rsid w:val="00721750"/>
    <w:rsid w:val="007218DD"/>
    <w:rsid w:val="00721BD2"/>
    <w:rsid w:val="00721E3C"/>
    <w:rsid w:val="00721E74"/>
    <w:rsid w:val="00721F24"/>
    <w:rsid w:val="00722205"/>
    <w:rsid w:val="00722BB3"/>
    <w:rsid w:val="007235FF"/>
    <w:rsid w:val="00723686"/>
    <w:rsid w:val="00723A63"/>
    <w:rsid w:val="00723A83"/>
    <w:rsid w:val="00723D77"/>
    <w:rsid w:val="00723DCF"/>
    <w:rsid w:val="00723F8D"/>
    <w:rsid w:val="0072406D"/>
    <w:rsid w:val="00724160"/>
    <w:rsid w:val="007241D1"/>
    <w:rsid w:val="007245C1"/>
    <w:rsid w:val="007246BB"/>
    <w:rsid w:val="0072499E"/>
    <w:rsid w:val="00724BCE"/>
    <w:rsid w:val="00724DE5"/>
    <w:rsid w:val="00724F28"/>
    <w:rsid w:val="00725172"/>
    <w:rsid w:val="007254A1"/>
    <w:rsid w:val="00725538"/>
    <w:rsid w:val="007259A1"/>
    <w:rsid w:val="007259A2"/>
    <w:rsid w:val="0072635D"/>
    <w:rsid w:val="007269F2"/>
    <w:rsid w:val="007277C8"/>
    <w:rsid w:val="007278F1"/>
    <w:rsid w:val="00727AD6"/>
    <w:rsid w:val="00727B7A"/>
    <w:rsid w:val="00727BC3"/>
    <w:rsid w:val="00727E63"/>
    <w:rsid w:val="00727EC3"/>
    <w:rsid w:val="00730484"/>
    <w:rsid w:val="00730493"/>
    <w:rsid w:val="00730E64"/>
    <w:rsid w:val="00730EC0"/>
    <w:rsid w:val="0073146E"/>
    <w:rsid w:val="007319DA"/>
    <w:rsid w:val="00731E8C"/>
    <w:rsid w:val="00732011"/>
    <w:rsid w:val="00732061"/>
    <w:rsid w:val="007325A3"/>
    <w:rsid w:val="0073270C"/>
    <w:rsid w:val="00732745"/>
    <w:rsid w:val="007328D9"/>
    <w:rsid w:val="00732EEA"/>
    <w:rsid w:val="0073324B"/>
    <w:rsid w:val="007337E3"/>
    <w:rsid w:val="00733AF0"/>
    <w:rsid w:val="00733DA3"/>
    <w:rsid w:val="00733DF7"/>
    <w:rsid w:val="00734993"/>
    <w:rsid w:val="00734C43"/>
    <w:rsid w:val="00735237"/>
    <w:rsid w:val="00735321"/>
    <w:rsid w:val="007354C6"/>
    <w:rsid w:val="007355EF"/>
    <w:rsid w:val="007355FE"/>
    <w:rsid w:val="0073587E"/>
    <w:rsid w:val="00735C55"/>
    <w:rsid w:val="00735CAB"/>
    <w:rsid w:val="00735E92"/>
    <w:rsid w:val="00736487"/>
    <w:rsid w:val="00736C9E"/>
    <w:rsid w:val="00737283"/>
    <w:rsid w:val="007372DD"/>
    <w:rsid w:val="00737441"/>
    <w:rsid w:val="007374BA"/>
    <w:rsid w:val="007374FD"/>
    <w:rsid w:val="0074027D"/>
    <w:rsid w:val="007402FF"/>
    <w:rsid w:val="0074047D"/>
    <w:rsid w:val="007405ED"/>
    <w:rsid w:val="0074073F"/>
    <w:rsid w:val="00740E21"/>
    <w:rsid w:val="00740F6C"/>
    <w:rsid w:val="0074187B"/>
    <w:rsid w:val="0074194D"/>
    <w:rsid w:val="00741AE9"/>
    <w:rsid w:val="00742151"/>
    <w:rsid w:val="00742EF7"/>
    <w:rsid w:val="007430DD"/>
    <w:rsid w:val="00743302"/>
    <w:rsid w:val="00743568"/>
    <w:rsid w:val="00743665"/>
    <w:rsid w:val="007437E0"/>
    <w:rsid w:val="00743A16"/>
    <w:rsid w:val="00744567"/>
    <w:rsid w:val="007449C3"/>
    <w:rsid w:val="00744B67"/>
    <w:rsid w:val="00744BEA"/>
    <w:rsid w:val="00744CFD"/>
    <w:rsid w:val="00744D6E"/>
    <w:rsid w:val="00744DF6"/>
    <w:rsid w:val="00744FBA"/>
    <w:rsid w:val="0074535A"/>
    <w:rsid w:val="00745743"/>
    <w:rsid w:val="00745958"/>
    <w:rsid w:val="007459A4"/>
    <w:rsid w:val="00745A4D"/>
    <w:rsid w:val="00745A67"/>
    <w:rsid w:val="00745F6C"/>
    <w:rsid w:val="007462C2"/>
    <w:rsid w:val="0074640E"/>
    <w:rsid w:val="0074648E"/>
    <w:rsid w:val="0074677B"/>
    <w:rsid w:val="00746989"/>
    <w:rsid w:val="00746A12"/>
    <w:rsid w:val="00746A47"/>
    <w:rsid w:val="00746AAD"/>
    <w:rsid w:val="00746B28"/>
    <w:rsid w:val="00746DC2"/>
    <w:rsid w:val="00746DDD"/>
    <w:rsid w:val="0074710C"/>
    <w:rsid w:val="0074711F"/>
    <w:rsid w:val="0074782D"/>
    <w:rsid w:val="007478BA"/>
    <w:rsid w:val="00747A92"/>
    <w:rsid w:val="00747CE2"/>
    <w:rsid w:val="00747EE9"/>
    <w:rsid w:val="00747F5D"/>
    <w:rsid w:val="0075043E"/>
    <w:rsid w:val="007505B2"/>
    <w:rsid w:val="007505D6"/>
    <w:rsid w:val="00750636"/>
    <w:rsid w:val="007507EA"/>
    <w:rsid w:val="007510D5"/>
    <w:rsid w:val="007511F7"/>
    <w:rsid w:val="0075150D"/>
    <w:rsid w:val="007515AE"/>
    <w:rsid w:val="00751936"/>
    <w:rsid w:val="00751B9C"/>
    <w:rsid w:val="00751BA5"/>
    <w:rsid w:val="00751BB3"/>
    <w:rsid w:val="00751C6E"/>
    <w:rsid w:val="007521C9"/>
    <w:rsid w:val="0075272A"/>
    <w:rsid w:val="007529EB"/>
    <w:rsid w:val="007530BF"/>
    <w:rsid w:val="0075373F"/>
    <w:rsid w:val="0075396A"/>
    <w:rsid w:val="007540A4"/>
    <w:rsid w:val="007547F0"/>
    <w:rsid w:val="007548FF"/>
    <w:rsid w:val="007549EF"/>
    <w:rsid w:val="00755191"/>
    <w:rsid w:val="00755985"/>
    <w:rsid w:val="007559FB"/>
    <w:rsid w:val="00755BD6"/>
    <w:rsid w:val="00755D1E"/>
    <w:rsid w:val="00755DEB"/>
    <w:rsid w:val="007560F5"/>
    <w:rsid w:val="007563E3"/>
    <w:rsid w:val="0075674D"/>
    <w:rsid w:val="007572A6"/>
    <w:rsid w:val="00757A67"/>
    <w:rsid w:val="00757B2B"/>
    <w:rsid w:val="00757B84"/>
    <w:rsid w:val="007603BB"/>
    <w:rsid w:val="00760600"/>
    <w:rsid w:val="00760631"/>
    <w:rsid w:val="0076072F"/>
    <w:rsid w:val="007609E8"/>
    <w:rsid w:val="00760D4F"/>
    <w:rsid w:val="00760EF2"/>
    <w:rsid w:val="007610AF"/>
    <w:rsid w:val="007611D4"/>
    <w:rsid w:val="00761A6A"/>
    <w:rsid w:val="007620D6"/>
    <w:rsid w:val="00762177"/>
    <w:rsid w:val="00762992"/>
    <w:rsid w:val="007629FC"/>
    <w:rsid w:val="00762DD1"/>
    <w:rsid w:val="007630B1"/>
    <w:rsid w:val="007644C6"/>
    <w:rsid w:val="007647B3"/>
    <w:rsid w:val="00764D59"/>
    <w:rsid w:val="00764F83"/>
    <w:rsid w:val="00765108"/>
    <w:rsid w:val="00765484"/>
    <w:rsid w:val="00765B09"/>
    <w:rsid w:val="00765E6B"/>
    <w:rsid w:val="007661D8"/>
    <w:rsid w:val="0076635A"/>
    <w:rsid w:val="007663C5"/>
    <w:rsid w:val="00767237"/>
    <w:rsid w:val="00767319"/>
    <w:rsid w:val="00767415"/>
    <w:rsid w:val="007678BC"/>
    <w:rsid w:val="00767A13"/>
    <w:rsid w:val="00767BFC"/>
    <w:rsid w:val="007704DF"/>
    <w:rsid w:val="00770640"/>
    <w:rsid w:val="00770C17"/>
    <w:rsid w:val="00770F16"/>
    <w:rsid w:val="00771784"/>
    <w:rsid w:val="007717CF"/>
    <w:rsid w:val="007718F7"/>
    <w:rsid w:val="00771915"/>
    <w:rsid w:val="007719D5"/>
    <w:rsid w:val="00771C0C"/>
    <w:rsid w:val="00771FF6"/>
    <w:rsid w:val="00772502"/>
    <w:rsid w:val="0077274C"/>
    <w:rsid w:val="00772B46"/>
    <w:rsid w:val="00772E4C"/>
    <w:rsid w:val="00772F96"/>
    <w:rsid w:val="007734F3"/>
    <w:rsid w:val="00773BC9"/>
    <w:rsid w:val="00773BD2"/>
    <w:rsid w:val="00773F88"/>
    <w:rsid w:val="0077416B"/>
    <w:rsid w:val="007744D2"/>
    <w:rsid w:val="00774579"/>
    <w:rsid w:val="007746B7"/>
    <w:rsid w:val="00774CF8"/>
    <w:rsid w:val="00775081"/>
    <w:rsid w:val="0077528F"/>
    <w:rsid w:val="007754CB"/>
    <w:rsid w:val="00775585"/>
    <w:rsid w:val="007757EA"/>
    <w:rsid w:val="00775C8E"/>
    <w:rsid w:val="00775CE0"/>
    <w:rsid w:val="00775D17"/>
    <w:rsid w:val="007766AC"/>
    <w:rsid w:val="007767AF"/>
    <w:rsid w:val="00776859"/>
    <w:rsid w:val="00776BFE"/>
    <w:rsid w:val="00777523"/>
    <w:rsid w:val="007779B7"/>
    <w:rsid w:val="00777D7D"/>
    <w:rsid w:val="00777DBD"/>
    <w:rsid w:val="00777E59"/>
    <w:rsid w:val="0078067D"/>
    <w:rsid w:val="007809F6"/>
    <w:rsid w:val="0078105E"/>
    <w:rsid w:val="007812EB"/>
    <w:rsid w:val="0078259F"/>
    <w:rsid w:val="00782DA0"/>
    <w:rsid w:val="00782E9C"/>
    <w:rsid w:val="0078321A"/>
    <w:rsid w:val="00783242"/>
    <w:rsid w:val="007836D3"/>
    <w:rsid w:val="00783822"/>
    <w:rsid w:val="007844FA"/>
    <w:rsid w:val="00784ED9"/>
    <w:rsid w:val="0078512A"/>
    <w:rsid w:val="00785309"/>
    <w:rsid w:val="00785781"/>
    <w:rsid w:val="00785DC5"/>
    <w:rsid w:val="00785E20"/>
    <w:rsid w:val="00785E9E"/>
    <w:rsid w:val="00786380"/>
    <w:rsid w:val="007866A9"/>
    <w:rsid w:val="00786B90"/>
    <w:rsid w:val="00786FE0"/>
    <w:rsid w:val="007871A3"/>
    <w:rsid w:val="00787247"/>
    <w:rsid w:val="00787445"/>
    <w:rsid w:val="0078761D"/>
    <w:rsid w:val="00787B75"/>
    <w:rsid w:val="00787BD0"/>
    <w:rsid w:val="007904BE"/>
    <w:rsid w:val="007907DD"/>
    <w:rsid w:val="007909F6"/>
    <w:rsid w:val="00790A27"/>
    <w:rsid w:val="00790AF4"/>
    <w:rsid w:val="00790D38"/>
    <w:rsid w:val="007913FF"/>
    <w:rsid w:val="00791420"/>
    <w:rsid w:val="00791678"/>
    <w:rsid w:val="007916AC"/>
    <w:rsid w:val="00791881"/>
    <w:rsid w:val="00791B82"/>
    <w:rsid w:val="00791DA3"/>
    <w:rsid w:val="00791F33"/>
    <w:rsid w:val="007920A4"/>
    <w:rsid w:val="00792DFF"/>
    <w:rsid w:val="007931F1"/>
    <w:rsid w:val="00793653"/>
    <w:rsid w:val="0079380D"/>
    <w:rsid w:val="007938B2"/>
    <w:rsid w:val="00793926"/>
    <w:rsid w:val="00793B0A"/>
    <w:rsid w:val="007941A9"/>
    <w:rsid w:val="00794A79"/>
    <w:rsid w:val="00794A9C"/>
    <w:rsid w:val="007958A2"/>
    <w:rsid w:val="00795955"/>
    <w:rsid w:val="00795EC5"/>
    <w:rsid w:val="0079640F"/>
    <w:rsid w:val="00796B74"/>
    <w:rsid w:val="00796CB7"/>
    <w:rsid w:val="00796CDF"/>
    <w:rsid w:val="00796D47"/>
    <w:rsid w:val="00796FE4"/>
    <w:rsid w:val="0079748E"/>
    <w:rsid w:val="00797D80"/>
    <w:rsid w:val="00797F7C"/>
    <w:rsid w:val="007A0683"/>
    <w:rsid w:val="007A086A"/>
    <w:rsid w:val="007A132A"/>
    <w:rsid w:val="007A138A"/>
    <w:rsid w:val="007A1959"/>
    <w:rsid w:val="007A1BBE"/>
    <w:rsid w:val="007A1EC5"/>
    <w:rsid w:val="007A1F12"/>
    <w:rsid w:val="007A1F35"/>
    <w:rsid w:val="007A1FA2"/>
    <w:rsid w:val="007A272B"/>
    <w:rsid w:val="007A284C"/>
    <w:rsid w:val="007A299A"/>
    <w:rsid w:val="007A29F4"/>
    <w:rsid w:val="007A2DC2"/>
    <w:rsid w:val="007A2FCA"/>
    <w:rsid w:val="007A2FE6"/>
    <w:rsid w:val="007A303D"/>
    <w:rsid w:val="007A33FF"/>
    <w:rsid w:val="007A349B"/>
    <w:rsid w:val="007A3733"/>
    <w:rsid w:val="007A386E"/>
    <w:rsid w:val="007A3B08"/>
    <w:rsid w:val="007A3EDC"/>
    <w:rsid w:val="007A490A"/>
    <w:rsid w:val="007A4C34"/>
    <w:rsid w:val="007A4D11"/>
    <w:rsid w:val="007A4D69"/>
    <w:rsid w:val="007A5087"/>
    <w:rsid w:val="007A5A1E"/>
    <w:rsid w:val="007A6218"/>
    <w:rsid w:val="007A6276"/>
    <w:rsid w:val="007A6CD3"/>
    <w:rsid w:val="007A6E70"/>
    <w:rsid w:val="007A721B"/>
    <w:rsid w:val="007A725F"/>
    <w:rsid w:val="007A72C9"/>
    <w:rsid w:val="007A73DB"/>
    <w:rsid w:val="007A7DDD"/>
    <w:rsid w:val="007A7FE9"/>
    <w:rsid w:val="007B0284"/>
    <w:rsid w:val="007B0838"/>
    <w:rsid w:val="007B0BDD"/>
    <w:rsid w:val="007B0C7E"/>
    <w:rsid w:val="007B1091"/>
    <w:rsid w:val="007B1118"/>
    <w:rsid w:val="007B1125"/>
    <w:rsid w:val="007B3961"/>
    <w:rsid w:val="007B3C05"/>
    <w:rsid w:val="007B3C09"/>
    <w:rsid w:val="007B40CF"/>
    <w:rsid w:val="007B42A5"/>
    <w:rsid w:val="007B42AA"/>
    <w:rsid w:val="007B45F6"/>
    <w:rsid w:val="007B467F"/>
    <w:rsid w:val="007B482E"/>
    <w:rsid w:val="007B48DD"/>
    <w:rsid w:val="007B4D9A"/>
    <w:rsid w:val="007B4F4C"/>
    <w:rsid w:val="007B5811"/>
    <w:rsid w:val="007B5CB1"/>
    <w:rsid w:val="007B5DAC"/>
    <w:rsid w:val="007B6706"/>
    <w:rsid w:val="007B6740"/>
    <w:rsid w:val="007B6824"/>
    <w:rsid w:val="007B697A"/>
    <w:rsid w:val="007B6C30"/>
    <w:rsid w:val="007B6CDE"/>
    <w:rsid w:val="007B6D9E"/>
    <w:rsid w:val="007B6FF4"/>
    <w:rsid w:val="007B7390"/>
    <w:rsid w:val="007B775C"/>
    <w:rsid w:val="007B7804"/>
    <w:rsid w:val="007B7BD6"/>
    <w:rsid w:val="007B7ED0"/>
    <w:rsid w:val="007B7F03"/>
    <w:rsid w:val="007B7F5D"/>
    <w:rsid w:val="007C00F2"/>
    <w:rsid w:val="007C04B8"/>
    <w:rsid w:val="007C1124"/>
    <w:rsid w:val="007C13D1"/>
    <w:rsid w:val="007C18CD"/>
    <w:rsid w:val="007C18FE"/>
    <w:rsid w:val="007C1CD0"/>
    <w:rsid w:val="007C204B"/>
    <w:rsid w:val="007C24D7"/>
    <w:rsid w:val="007C29EA"/>
    <w:rsid w:val="007C2A27"/>
    <w:rsid w:val="007C2B85"/>
    <w:rsid w:val="007C2F1B"/>
    <w:rsid w:val="007C3278"/>
    <w:rsid w:val="007C3337"/>
    <w:rsid w:val="007C34F3"/>
    <w:rsid w:val="007C3DCE"/>
    <w:rsid w:val="007C3F45"/>
    <w:rsid w:val="007C40D4"/>
    <w:rsid w:val="007C5050"/>
    <w:rsid w:val="007C5135"/>
    <w:rsid w:val="007C5226"/>
    <w:rsid w:val="007C522A"/>
    <w:rsid w:val="007C52A9"/>
    <w:rsid w:val="007C5309"/>
    <w:rsid w:val="007C55B1"/>
    <w:rsid w:val="007C575E"/>
    <w:rsid w:val="007C593A"/>
    <w:rsid w:val="007C5A3D"/>
    <w:rsid w:val="007C5A85"/>
    <w:rsid w:val="007C618E"/>
    <w:rsid w:val="007C6209"/>
    <w:rsid w:val="007C7425"/>
    <w:rsid w:val="007C7A6C"/>
    <w:rsid w:val="007C7B7C"/>
    <w:rsid w:val="007C7C08"/>
    <w:rsid w:val="007C7CD2"/>
    <w:rsid w:val="007C7E94"/>
    <w:rsid w:val="007C7F30"/>
    <w:rsid w:val="007D01AA"/>
    <w:rsid w:val="007D0234"/>
    <w:rsid w:val="007D06C7"/>
    <w:rsid w:val="007D0841"/>
    <w:rsid w:val="007D090D"/>
    <w:rsid w:val="007D164E"/>
    <w:rsid w:val="007D203B"/>
    <w:rsid w:val="007D2226"/>
    <w:rsid w:val="007D289D"/>
    <w:rsid w:val="007D29A4"/>
    <w:rsid w:val="007D2A95"/>
    <w:rsid w:val="007D2B04"/>
    <w:rsid w:val="007D34B2"/>
    <w:rsid w:val="007D37F4"/>
    <w:rsid w:val="007D3BB5"/>
    <w:rsid w:val="007D3C6B"/>
    <w:rsid w:val="007D4A17"/>
    <w:rsid w:val="007D4AA2"/>
    <w:rsid w:val="007D4AE6"/>
    <w:rsid w:val="007D5293"/>
    <w:rsid w:val="007D5B1D"/>
    <w:rsid w:val="007D5C2A"/>
    <w:rsid w:val="007D5F52"/>
    <w:rsid w:val="007D6461"/>
    <w:rsid w:val="007D6937"/>
    <w:rsid w:val="007D6E58"/>
    <w:rsid w:val="007D703B"/>
    <w:rsid w:val="007D7A79"/>
    <w:rsid w:val="007D7E32"/>
    <w:rsid w:val="007E009B"/>
    <w:rsid w:val="007E0DBA"/>
    <w:rsid w:val="007E1095"/>
    <w:rsid w:val="007E1236"/>
    <w:rsid w:val="007E1273"/>
    <w:rsid w:val="007E1335"/>
    <w:rsid w:val="007E14E9"/>
    <w:rsid w:val="007E1795"/>
    <w:rsid w:val="007E17B7"/>
    <w:rsid w:val="007E1CFE"/>
    <w:rsid w:val="007E1DB8"/>
    <w:rsid w:val="007E1E2B"/>
    <w:rsid w:val="007E1E9C"/>
    <w:rsid w:val="007E1FA1"/>
    <w:rsid w:val="007E2042"/>
    <w:rsid w:val="007E22C4"/>
    <w:rsid w:val="007E2304"/>
    <w:rsid w:val="007E259C"/>
    <w:rsid w:val="007E2A2F"/>
    <w:rsid w:val="007E2DCD"/>
    <w:rsid w:val="007E2E26"/>
    <w:rsid w:val="007E3489"/>
    <w:rsid w:val="007E34BA"/>
    <w:rsid w:val="007E37D4"/>
    <w:rsid w:val="007E38C8"/>
    <w:rsid w:val="007E40C2"/>
    <w:rsid w:val="007E417C"/>
    <w:rsid w:val="007E45D2"/>
    <w:rsid w:val="007E4678"/>
    <w:rsid w:val="007E48B4"/>
    <w:rsid w:val="007E4C59"/>
    <w:rsid w:val="007E4EC1"/>
    <w:rsid w:val="007E548A"/>
    <w:rsid w:val="007E5533"/>
    <w:rsid w:val="007E565C"/>
    <w:rsid w:val="007E5BD3"/>
    <w:rsid w:val="007E5F43"/>
    <w:rsid w:val="007E6125"/>
    <w:rsid w:val="007E687C"/>
    <w:rsid w:val="007E6A19"/>
    <w:rsid w:val="007E6AC5"/>
    <w:rsid w:val="007E6ECB"/>
    <w:rsid w:val="007E702E"/>
    <w:rsid w:val="007E71FF"/>
    <w:rsid w:val="007E74FC"/>
    <w:rsid w:val="007E7641"/>
    <w:rsid w:val="007E7A59"/>
    <w:rsid w:val="007E7AFE"/>
    <w:rsid w:val="007E7BAD"/>
    <w:rsid w:val="007F0232"/>
    <w:rsid w:val="007F04A2"/>
    <w:rsid w:val="007F08CD"/>
    <w:rsid w:val="007F0C8A"/>
    <w:rsid w:val="007F121E"/>
    <w:rsid w:val="007F12B8"/>
    <w:rsid w:val="007F18EA"/>
    <w:rsid w:val="007F1A72"/>
    <w:rsid w:val="007F1AA6"/>
    <w:rsid w:val="007F1C72"/>
    <w:rsid w:val="007F1E8C"/>
    <w:rsid w:val="007F20BE"/>
    <w:rsid w:val="007F2592"/>
    <w:rsid w:val="007F2935"/>
    <w:rsid w:val="007F2ECA"/>
    <w:rsid w:val="007F357C"/>
    <w:rsid w:val="007F3DCB"/>
    <w:rsid w:val="007F404C"/>
    <w:rsid w:val="007F448B"/>
    <w:rsid w:val="007F4493"/>
    <w:rsid w:val="007F4788"/>
    <w:rsid w:val="007F4967"/>
    <w:rsid w:val="007F4FA8"/>
    <w:rsid w:val="007F4FC8"/>
    <w:rsid w:val="007F555D"/>
    <w:rsid w:val="007F58E6"/>
    <w:rsid w:val="007F591C"/>
    <w:rsid w:val="007F5AD0"/>
    <w:rsid w:val="007F5C63"/>
    <w:rsid w:val="007F639D"/>
    <w:rsid w:val="007F65A5"/>
    <w:rsid w:val="007F66A8"/>
    <w:rsid w:val="007F68E4"/>
    <w:rsid w:val="007F6BA7"/>
    <w:rsid w:val="007F6BE8"/>
    <w:rsid w:val="007F6CC9"/>
    <w:rsid w:val="007F76E0"/>
    <w:rsid w:val="007F77C3"/>
    <w:rsid w:val="008006DA"/>
    <w:rsid w:val="008006E9"/>
    <w:rsid w:val="00800824"/>
    <w:rsid w:val="00800BCD"/>
    <w:rsid w:val="00800C18"/>
    <w:rsid w:val="0080120A"/>
    <w:rsid w:val="00801797"/>
    <w:rsid w:val="008017B0"/>
    <w:rsid w:val="008017C5"/>
    <w:rsid w:val="00801C40"/>
    <w:rsid w:val="008022EA"/>
    <w:rsid w:val="008023F4"/>
    <w:rsid w:val="00802701"/>
    <w:rsid w:val="00802904"/>
    <w:rsid w:val="00802A0A"/>
    <w:rsid w:val="00803113"/>
    <w:rsid w:val="00803CA8"/>
    <w:rsid w:val="00803D8A"/>
    <w:rsid w:val="008043EB"/>
    <w:rsid w:val="008044A7"/>
    <w:rsid w:val="0080456F"/>
    <w:rsid w:val="00804C86"/>
    <w:rsid w:val="00804D6E"/>
    <w:rsid w:val="00804F63"/>
    <w:rsid w:val="00804F67"/>
    <w:rsid w:val="00805241"/>
    <w:rsid w:val="00805437"/>
    <w:rsid w:val="00805512"/>
    <w:rsid w:val="008055E2"/>
    <w:rsid w:val="00805DAE"/>
    <w:rsid w:val="00805DCB"/>
    <w:rsid w:val="00805E94"/>
    <w:rsid w:val="00806433"/>
    <w:rsid w:val="00806E92"/>
    <w:rsid w:val="00806EFB"/>
    <w:rsid w:val="00807007"/>
    <w:rsid w:val="008071A9"/>
    <w:rsid w:val="00807424"/>
    <w:rsid w:val="0080750F"/>
    <w:rsid w:val="0080784B"/>
    <w:rsid w:val="00807BA4"/>
    <w:rsid w:val="00810EE3"/>
    <w:rsid w:val="00811038"/>
    <w:rsid w:val="00811BE0"/>
    <w:rsid w:val="00811CA5"/>
    <w:rsid w:val="00812461"/>
    <w:rsid w:val="00812B5F"/>
    <w:rsid w:val="00812F6A"/>
    <w:rsid w:val="00812F7E"/>
    <w:rsid w:val="00813057"/>
    <w:rsid w:val="008132EB"/>
    <w:rsid w:val="0081339C"/>
    <w:rsid w:val="00813BC1"/>
    <w:rsid w:val="00813DA7"/>
    <w:rsid w:val="00813EA2"/>
    <w:rsid w:val="00814151"/>
    <w:rsid w:val="00814211"/>
    <w:rsid w:val="00814906"/>
    <w:rsid w:val="0081502C"/>
    <w:rsid w:val="00815187"/>
    <w:rsid w:val="00815261"/>
    <w:rsid w:val="00815293"/>
    <w:rsid w:val="008152A3"/>
    <w:rsid w:val="0081535A"/>
    <w:rsid w:val="008156D8"/>
    <w:rsid w:val="00815A11"/>
    <w:rsid w:val="00815B16"/>
    <w:rsid w:val="00815CB8"/>
    <w:rsid w:val="00815F8A"/>
    <w:rsid w:val="00816064"/>
    <w:rsid w:val="00816990"/>
    <w:rsid w:val="0081743B"/>
    <w:rsid w:val="008175ED"/>
    <w:rsid w:val="008179D9"/>
    <w:rsid w:val="00817B8A"/>
    <w:rsid w:val="00817CB8"/>
    <w:rsid w:val="00817CCE"/>
    <w:rsid w:val="00820021"/>
    <w:rsid w:val="00820928"/>
    <w:rsid w:val="00820954"/>
    <w:rsid w:val="00820AB8"/>
    <w:rsid w:val="00820ABC"/>
    <w:rsid w:val="008210C7"/>
    <w:rsid w:val="0082111F"/>
    <w:rsid w:val="00821494"/>
    <w:rsid w:val="00821D5E"/>
    <w:rsid w:val="00821F21"/>
    <w:rsid w:val="008223BE"/>
    <w:rsid w:val="0082283A"/>
    <w:rsid w:val="00822888"/>
    <w:rsid w:val="008233A4"/>
    <w:rsid w:val="008238ED"/>
    <w:rsid w:val="00823A61"/>
    <w:rsid w:val="008244F4"/>
    <w:rsid w:val="008245BA"/>
    <w:rsid w:val="008245D7"/>
    <w:rsid w:val="00824C60"/>
    <w:rsid w:val="00824E5F"/>
    <w:rsid w:val="00825A41"/>
    <w:rsid w:val="00825B3C"/>
    <w:rsid w:val="00826977"/>
    <w:rsid w:val="00826ACE"/>
    <w:rsid w:val="0082724E"/>
    <w:rsid w:val="008276D9"/>
    <w:rsid w:val="008277F2"/>
    <w:rsid w:val="008278F6"/>
    <w:rsid w:val="00827B50"/>
    <w:rsid w:val="00827D5E"/>
    <w:rsid w:val="0083031E"/>
    <w:rsid w:val="008305BC"/>
    <w:rsid w:val="00830C8A"/>
    <w:rsid w:val="0083107C"/>
    <w:rsid w:val="00831558"/>
    <w:rsid w:val="008316F4"/>
    <w:rsid w:val="008317B7"/>
    <w:rsid w:val="008317FB"/>
    <w:rsid w:val="00831809"/>
    <w:rsid w:val="0083186A"/>
    <w:rsid w:val="00831A03"/>
    <w:rsid w:val="00831F13"/>
    <w:rsid w:val="00832021"/>
    <w:rsid w:val="008324B4"/>
    <w:rsid w:val="0083279A"/>
    <w:rsid w:val="008328C9"/>
    <w:rsid w:val="00832A1C"/>
    <w:rsid w:val="00832D2B"/>
    <w:rsid w:val="00832DCD"/>
    <w:rsid w:val="00832FFF"/>
    <w:rsid w:val="0083322E"/>
    <w:rsid w:val="00833625"/>
    <w:rsid w:val="00833F60"/>
    <w:rsid w:val="00834094"/>
    <w:rsid w:val="008347CE"/>
    <w:rsid w:val="00834A6B"/>
    <w:rsid w:val="00834CE0"/>
    <w:rsid w:val="00834FBF"/>
    <w:rsid w:val="008359F0"/>
    <w:rsid w:val="008365B1"/>
    <w:rsid w:val="00836DA5"/>
    <w:rsid w:val="00836E8B"/>
    <w:rsid w:val="00836F97"/>
    <w:rsid w:val="0083750C"/>
    <w:rsid w:val="00837699"/>
    <w:rsid w:val="008378B2"/>
    <w:rsid w:val="00837DEB"/>
    <w:rsid w:val="00840181"/>
    <w:rsid w:val="00840378"/>
    <w:rsid w:val="008404AE"/>
    <w:rsid w:val="00840AE0"/>
    <w:rsid w:val="00840B43"/>
    <w:rsid w:val="00841032"/>
    <w:rsid w:val="008412EF"/>
    <w:rsid w:val="008415CC"/>
    <w:rsid w:val="00841C89"/>
    <w:rsid w:val="00841DA4"/>
    <w:rsid w:val="0084260D"/>
    <w:rsid w:val="008426AA"/>
    <w:rsid w:val="00842BFA"/>
    <w:rsid w:val="00842C8C"/>
    <w:rsid w:val="00842D34"/>
    <w:rsid w:val="00842E76"/>
    <w:rsid w:val="00842F71"/>
    <w:rsid w:val="00843113"/>
    <w:rsid w:val="00843881"/>
    <w:rsid w:val="00843B40"/>
    <w:rsid w:val="008440D8"/>
    <w:rsid w:val="008447C2"/>
    <w:rsid w:val="00844A32"/>
    <w:rsid w:val="00844F97"/>
    <w:rsid w:val="00845391"/>
    <w:rsid w:val="008453D7"/>
    <w:rsid w:val="008457DC"/>
    <w:rsid w:val="00845E87"/>
    <w:rsid w:val="008464E2"/>
    <w:rsid w:val="008467F4"/>
    <w:rsid w:val="00846873"/>
    <w:rsid w:val="00846F10"/>
    <w:rsid w:val="0084772B"/>
    <w:rsid w:val="00847B5D"/>
    <w:rsid w:val="00847C4F"/>
    <w:rsid w:val="00847D26"/>
    <w:rsid w:val="00847FAA"/>
    <w:rsid w:val="00850017"/>
    <w:rsid w:val="00850044"/>
    <w:rsid w:val="0085036E"/>
    <w:rsid w:val="00850371"/>
    <w:rsid w:val="008504E6"/>
    <w:rsid w:val="00850BDB"/>
    <w:rsid w:val="008511E1"/>
    <w:rsid w:val="008525ED"/>
    <w:rsid w:val="00852662"/>
    <w:rsid w:val="00852C12"/>
    <w:rsid w:val="00853760"/>
    <w:rsid w:val="008537D3"/>
    <w:rsid w:val="00853896"/>
    <w:rsid w:val="008539DF"/>
    <w:rsid w:val="008542D9"/>
    <w:rsid w:val="00854660"/>
    <w:rsid w:val="00855699"/>
    <w:rsid w:val="008558EE"/>
    <w:rsid w:val="008565EC"/>
    <w:rsid w:val="008566A8"/>
    <w:rsid w:val="00856898"/>
    <w:rsid w:val="00856AB2"/>
    <w:rsid w:val="00856D1D"/>
    <w:rsid w:val="00856D69"/>
    <w:rsid w:val="00856F50"/>
    <w:rsid w:val="00857247"/>
    <w:rsid w:val="00857304"/>
    <w:rsid w:val="00857727"/>
    <w:rsid w:val="00857826"/>
    <w:rsid w:val="0085798C"/>
    <w:rsid w:val="00857D0B"/>
    <w:rsid w:val="00857E02"/>
    <w:rsid w:val="0086000F"/>
    <w:rsid w:val="00860844"/>
    <w:rsid w:val="00860868"/>
    <w:rsid w:val="00860A97"/>
    <w:rsid w:val="00860B67"/>
    <w:rsid w:val="00861291"/>
    <w:rsid w:val="008613A7"/>
    <w:rsid w:val="00861469"/>
    <w:rsid w:val="008616BC"/>
    <w:rsid w:val="00861912"/>
    <w:rsid w:val="00861B47"/>
    <w:rsid w:val="00861E20"/>
    <w:rsid w:val="008621FE"/>
    <w:rsid w:val="008623CD"/>
    <w:rsid w:val="008626A0"/>
    <w:rsid w:val="00862B07"/>
    <w:rsid w:val="00862EE9"/>
    <w:rsid w:val="008630BE"/>
    <w:rsid w:val="008632EE"/>
    <w:rsid w:val="0086348F"/>
    <w:rsid w:val="00863916"/>
    <w:rsid w:val="00863B6D"/>
    <w:rsid w:val="00863D74"/>
    <w:rsid w:val="00863F3C"/>
    <w:rsid w:val="008640F2"/>
    <w:rsid w:val="00864203"/>
    <w:rsid w:val="00864580"/>
    <w:rsid w:val="00864801"/>
    <w:rsid w:val="0086484C"/>
    <w:rsid w:val="00864F9D"/>
    <w:rsid w:val="00865255"/>
    <w:rsid w:val="0086546A"/>
    <w:rsid w:val="008658F7"/>
    <w:rsid w:val="00865D9F"/>
    <w:rsid w:val="00865EDA"/>
    <w:rsid w:val="00865FD0"/>
    <w:rsid w:val="00866117"/>
    <w:rsid w:val="00866289"/>
    <w:rsid w:val="008664CA"/>
    <w:rsid w:val="008668F2"/>
    <w:rsid w:val="0086745C"/>
    <w:rsid w:val="0086781D"/>
    <w:rsid w:val="0086786B"/>
    <w:rsid w:val="00867A6D"/>
    <w:rsid w:val="00867A89"/>
    <w:rsid w:val="00867D0D"/>
    <w:rsid w:val="00867E76"/>
    <w:rsid w:val="00867F8A"/>
    <w:rsid w:val="00870166"/>
    <w:rsid w:val="008716FF"/>
    <w:rsid w:val="00871982"/>
    <w:rsid w:val="00871983"/>
    <w:rsid w:val="008725F7"/>
    <w:rsid w:val="0087278E"/>
    <w:rsid w:val="00872C3A"/>
    <w:rsid w:val="00872D52"/>
    <w:rsid w:val="00873158"/>
    <w:rsid w:val="008733E9"/>
    <w:rsid w:val="008733EB"/>
    <w:rsid w:val="0087353B"/>
    <w:rsid w:val="00873B24"/>
    <w:rsid w:val="00874059"/>
    <w:rsid w:val="00874627"/>
    <w:rsid w:val="0087464A"/>
    <w:rsid w:val="00874A4F"/>
    <w:rsid w:val="00874BB3"/>
    <w:rsid w:val="00874DC6"/>
    <w:rsid w:val="00875185"/>
    <w:rsid w:val="00875455"/>
    <w:rsid w:val="00875D69"/>
    <w:rsid w:val="00875FAD"/>
    <w:rsid w:val="00876607"/>
    <w:rsid w:val="008766C1"/>
    <w:rsid w:val="00876807"/>
    <w:rsid w:val="00876B3E"/>
    <w:rsid w:val="00876DDB"/>
    <w:rsid w:val="0087714C"/>
    <w:rsid w:val="008775D1"/>
    <w:rsid w:val="0087788D"/>
    <w:rsid w:val="00877C81"/>
    <w:rsid w:val="00877F03"/>
    <w:rsid w:val="00877FAA"/>
    <w:rsid w:val="00880250"/>
    <w:rsid w:val="0088040F"/>
    <w:rsid w:val="0088084B"/>
    <w:rsid w:val="008808E1"/>
    <w:rsid w:val="00880BE9"/>
    <w:rsid w:val="00881359"/>
    <w:rsid w:val="00881403"/>
    <w:rsid w:val="0088145B"/>
    <w:rsid w:val="00881617"/>
    <w:rsid w:val="00881883"/>
    <w:rsid w:val="00881908"/>
    <w:rsid w:val="00882029"/>
    <w:rsid w:val="00882172"/>
    <w:rsid w:val="00882EC3"/>
    <w:rsid w:val="00882F2D"/>
    <w:rsid w:val="0088362C"/>
    <w:rsid w:val="00883AB4"/>
    <w:rsid w:val="00883ED4"/>
    <w:rsid w:val="00883F91"/>
    <w:rsid w:val="008844BB"/>
    <w:rsid w:val="008845A6"/>
    <w:rsid w:val="0088460A"/>
    <w:rsid w:val="00884B69"/>
    <w:rsid w:val="00884C48"/>
    <w:rsid w:val="00884FF0"/>
    <w:rsid w:val="0088555B"/>
    <w:rsid w:val="008859F4"/>
    <w:rsid w:val="00885D20"/>
    <w:rsid w:val="00885D30"/>
    <w:rsid w:val="008860B3"/>
    <w:rsid w:val="00886117"/>
    <w:rsid w:val="00886179"/>
    <w:rsid w:val="0088685C"/>
    <w:rsid w:val="008874C6"/>
    <w:rsid w:val="008874D3"/>
    <w:rsid w:val="008874F8"/>
    <w:rsid w:val="00887E94"/>
    <w:rsid w:val="008902AC"/>
    <w:rsid w:val="00890C24"/>
    <w:rsid w:val="00891064"/>
    <w:rsid w:val="008910FA"/>
    <w:rsid w:val="008912E7"/>
    <w:rsid w:val="00891713"/>
    <w:rsid w:val="00891DB2"/>
    <w:rsid w:val="00891FB2"/>
    <w:rsid w:val="00892425"/>
    <w:rsid w:val="008926DA"/>
    <w:rsid w:val="00892A29"/>
    <w:rsid w:val="00892C5D"/>
    <w:rsid w:val="00892EAF"/>
    <w:rsid w:val="00892EF9"/>
    <w:rsid w:val="0089310F"/>
    <w:rsid w:val="0089315C"/>
    <w:rsid w:val="0089322B"/>
    <w:rsid w:val="00893264"/>
    <w:rsid w:val="008934D4"/>
    <w:rsid w:val="008935E0"/>
    <w:rsid w:val="00893778"/>
    <w:rsid w:val="00893817"/>
    <w:rsid w:val="00893A9F"/>
    <w:rsid w:val="00893C8B"/>
    <w:rsid w:val="00893E96"/>
    <w:rsid w:val="00894523"/>
    <w:rsid w:val="0089513F"/>
    <w:rsid w:val="0089526C"/>
    <w:rsid w:val="008958CC"/>
    <w:rsid w:val="00895988"/>
    <w:rsid w:val="00897B1C"/>
    <w:rsid w:val="008A0451"/>
    <w:rsid w:val="008A0477"/>
    <w:rsid w:val="008A05E8"/>
    <w:rsid w:val="008A0979"/>
    <w:rsid w:val="008A0D04"/>
    <w:rsid w:val="008A0DBA"/>
    <w:rsid w:val="008A1CBD"/>
    <w:rsid w:val="008A2018"/>
    <w:rsid w:val="008A2956"/>
    <w:rsid w:val="008A2BFC"/>
    <w:rsid w:val="008A3088"/>
    <w:rsid w:val="008A36CA"/>
    <w:rsid w:val="008A3A5A"/>
    <w:rsid w:val="008A3C25"/>
    <w:rsid w:val="008A44A5"/>
    <w:rsid w:val="008A46B2"/>
    <w:rsid w:val="008A4C9C"/>
    <w:rsid w:val="008A4CE3"/>
    <w:rsid w:val="008A5049"/>
    <w:rsid w:val="008A59BB"/>
    <w:rsid w:val="008A5B40"/>
    <w:rsid w:val="008A5E4E"/>
    <w:rsid w:val="008A61A0"/>
    <w:rsid w:val="008A6572"/>
    <w:rsid w:val="008A6B74"/>
    <w:rsid w:val="008A6EA6"/>
    <w:rsid w:val="008A763D"/>
    <w:rsid w:val="008A7859"/>
    <w:rsid w:val="008A79BC"/>
    <w:rsid w:val="008A79E3"/>
    <w:rsid w:val="008A7DA3"/>
    <w:rsid w:val="008B0113"/>
    <w:rsid w:val="008B0346"/>
    <w:rsid w:val="008B0626"/>
    <w:rsid w:val="008B06EE"/>
    <w:rsid w:val="008B0794"/>
    <w:rsid w:val="008B0DCE"/>
    <w:rsid w:val="008B10AC"/>
    <w:rsid w:val="008B10E8"/>
    <w:rsid w:val="008B11A0"/>
    <w:rsid w:val="008B11B4"/>
    <w:rsid w:val="008B11BE"/>
    <w:rsid w:val="008B1328"/>
    <w:rsid w:val="008B1681"/>
    <w:rsid w:val="008B1763"/>
    <w:rsid w:val="008B190A"/>
    <w:rsid w:val="008B20D9"/>
    <w:rsid w:val="008B2429"/>
    <w:rsid w:val="008B2DEE"/>
    <w:rsid w:val="008B31F3"/>
    <w:rsid w:val="008B387A"/>
    <w:rsid w:val="008B3A30"/>
    <w:rsid w:val="008B3C7C"/>
    <w:rsid w:val="008B3F05"/>
    <w:rsid w:val="008B4024"/>
    <w:rsid w:val="008B4344"/>
    <w:rsid w:val="008B4437"/>
    <w:rsid w:val="008B4B74"/>
    <w:rsid w:val="008B4EEA"/>
    <w:rsid w:val="008B5304"/>
    <w:rsid w:val="008B5B85"/>
    <w:rsid w:val="008B63A5"/>
    <w:rsid w:val="008B644D"/>
    <w:rsid w:val="008B6532"/>
    <w:rsid w:val="008B68AD"/>
    <w:rsid w:val="008B696B"/>
    <w:rsid w:val="008B6BAA"/>
    <w:rsid w:val="008B6F0C"/>
    <w:rsid w:val="008B7057"/>
    <w:rsid w:val="008B756B"/>
    <w:rsid w:val="008B768B"/>
    <w:rsid w:val="008B7EC7"/>
    <w:rsid w:val="008C0447"/>
    <w:rsid w:val="008C1188"/>
    <w:rsid w:val="008C1476"/>
    <w:rsid w:val="008C187F"/>
    <w:rsid w:val="008C188D"/>
    <w:rsid w:val="008C197D"/>
    <w:rsid w:val="008C1ADF"/>
    <w:rsid w:val="008C1E21"/>
    <w:rsid w:val="008C1EAC"/>
    <w:rsid w:val="008C27D0"/>
    <w:rsid w:val="008C2F88"/>
    <w:rsid w:val="008C2FA9"/>
    <w:rsid w:val="008C2FAC"/>
    <w:rsid w:val="008C38E1"/>
    <w:rsid w:val="008C3C5E"/>
    <w:rsid w:val="008C3DED"/>
    <w:rsid w:val="008C40D5"/>
    <w:rsid w:val="008C424D"/>
    <w:rsid w:val="008C45E8"/>
    <w:rsid w:val="008C4978"/>
    <w:rsid w:val="008C4A8B"/>
    <w:rsid w:val="008C4C99"/>
    <w:rsid w:val="008C4F54"/>
    <w:rsid w:val="008C5851"/>
    <w:rsid w:val="008C6259"/>
    <w:rsid w:val="008C69D0"/>
    <w:rsid w:val="008C6B21"/>
    <w:rsid w:val="008C6F99"/>
    <w:rsid w:val="008C7178"/>
    <w:rsid w:val="008C7186"/>
    <w:rsid w:val="008C7254"/>
    <w:rsid w:val="008C7320"/>
    <w:rsid w:val="008C756B"/>
    <w:rsid w:val="008C7BA3"/>
    <w:rsid w:val="008C7CEA"/>
    <w:rsid w:val="008C7DCA"/>
    <w:rsid w:val="008D0085"/>
    <w:rsid w:val="008D04FE"/>
    <w:rsid w:val="008D0836"/>
    <w:rsid w:val="008D0BA7"/>
    <w:rsid w:val="008D0C86"/>
    <w:rsid w:val="008D10CD"/>
    <w:rsid w:val="008D12F4"/>
    <w:rsid w:val="008D1DF2"/>
    <w:rsid w:val="008D29BA"/>
    <w:rsid w:val="008D2AB2"/>
    <w:rsid w:val="008D2C95"/>
    <w:rsid w:val="008D2DFF"/>
    <w:rsid w:val="008D3075"/>
    <w:rsid w:val="008D3275"/>
    <w:rsid w:val="008D3389"/>
    <w:rsid w:val="008D3550"/>
    <w:rsid w:val="008D3F9B"/>
    <w:rsid w:val="008D4C1C"/>
    <w:rsid w:val="008D4C37"/>
    <w:rsid w:val="008D5074"/>
    <w:rsid w:val="008D5378"/>
    <w:rsid w:val="008D538E"/>
    <w:rsid w:val="008D5426"/>
    <w:rsid w:val="008D5E4D"/>
    <w:rsid w:val="008D6115"/>
    <w:rsid w:val="008D622C"/>
    <w:rsid w:val="008D62C3"/>
    <w:rsid w:val="008D6458"/>
    <w:rsid w:val="008D664B"/>
    <w:rsid w:val="008D6793"/>
    <w:rsid w:val="008D6E3E"/>
    <w:rsid w:val="008D6E67"/>
    <w:rsid w:val="008D6ED5"/>
    <w:rsid w:val="008D7003"/>
    <w:rsid w:val="008D701D"/>
    <w:rsid w:val="008D7156"/>
    <w:rsid w:val="008D734D"/>
    <w:rsid w:val="008D77D6"/>
    <w:rsid w:val="008D7A43"/>
    <w:rsid w:val="008D7C6C"/>
    <w:rsid w:val="008D7FF5"/>
    <w:rsid w:val="008E0103"/>
    <w:rsid w:val="008E0213"/>
    <w:rsid w:val="008E078B"/>
    <w:rsid w:val="008E0915"/>
    <w:rsid w:val="008E163A"/>
    <w:rsid w:val="008E1CFC"/>
    <w:rsid w:val="008E1D60"/>
    <w:rsid w:val="008E1D8F"/>
    <w:rsid w:val="008E1F80"/>
    <w:rsid w:val="008E1FBE"/>
    <w:rsid w:val="008E24C8"/>
    <w:rsid w:val="008E2A52"/>
    <w:rsid w:val="008E2C57"/>
    <w:rsid w:val="008E2CBF"/>
    <w:rsid w:val="008E32B5"/>
    <w:rsid w:val="008E3D8D"/>
    <w:rsid w:val="008E4981"/>
    <w:rsid w:val="008E4A45"/>
    <w:rsid w:val="008E4C24"/>
    <w:rsid w:val="008E4EA7"/>
    <w:rsid w:val="008E5225"/>
    <w:rsid w:val="008E559A"/>
    <w:rsid w:val="008E5765"/>
    <w:rsid w:val="008E63CE"/>
    <w:rsid w:val="008E6650"/>
    <w:rsid w:val="008E68AC"/>
    <w:rsid w:val="008E6AAD"/>
    <w:rsid w:val="008E6EE1"/>
    <w:rsid w:val="008E7273"/>
    <w:rsid w:val="008E748E"/>
    <w:rsid w:val="008E77D8"/>
    <w:rsid w:val="008E78FF"/>
    <w:rsid w:val="008E7959"/>
    <w:rsid w:val="008E7CD9"/>
    <w:rsid w:val="008F00FE"/>
    <w:rsid w:val="008F0567"/>
    <w:rsid w:val="008F064B"/>
    <w:rsid w:val="008F0CDC"/>
    <w:rsid w:val="008F0F4E"/>
    <w:rsid w:val="008F12D1"/>
    <w:rsid w:val="008F14DA"/>
    <w:rsid w:val="008F14FA"/>
    <w:rsid w:val="008F1801"/>
    <w:rsid w:val="008F1AAC"/>
    <w:rsid w:val="008F1C5F"/>
    <w:rsid w:val="008F24D2"/>
    <w:rsid w:val="008F2592"/>
    <w:rsid w:val="008F26BD"/>
    <w:rsid w:val="008F27C0"/>
    <w:rsid w:val="008F2D1E"/>
    <w:rsid w:val="008F3BA2"/>
    <w:rsid w:val="008F4063"/>
    <w:rsid w:val="008F47BB"/>
    <w:rsid w:val="008F48D7"/>
    <w:rsid w:val="008F4B13"/>
    <w:rsid w:val="008F4E36"/>
    <w:rsid w:val="008F4F7F"/>
    <w:rsid w:val="008F5513"/>
    <w:rsid w:val="008F5807"/>
    <w:rsid w:val="008F5995"/>
    <w:rsid w:val="008F5C42"/>
    <w:rsid w:val="008F5E85"/>
    <w:rsid w:val="008F6263"/>
    <w:rsid w:val="008F6C08"/>
    <w:rsid w:val="008F7200"/>
    <w:rsid w:val="008F7284"/>
    <w:rsid w:val="008F7ED1"/>
    <w:rsid w:val="008F7F2F"/>
    <w:rsid w:val="009002CF"/>
    <w:rsid w:val="009005B2"/>
    <w:rsid w:val="009007BB"/>
    <w:rsid w:val="0090082F"/>
    <w:rsid w:val="00901022"/>
    <w:rsid w:val="00901205"/>
    <w:rsid w:val="00901289"/>
    <w:rsid w:val="00901502"/>
    <w:rsid w:val="009017A6"/>
    <w:rsid w:val="00901BC6"/>
    <w:rsid w:val="00901C4D"/>
    <w:rsid w:val="0090230E"/>
    <w:rsid w:val="00902AEA"/>
    <w:rsid w:val="00902D74"/>
    <w:rsid w:val="00903709"/>
    <w:rsid w:val="00903919"/>
    <w:rsid w:val="00903B66"/>
    <w:rsid w:val="00903DCE"/>
    <w:rsid w:val="00904141"/>
    <w:rsid w:val="009043AB"/>
    <w:rsid w:val="009045EF"/>
    <w:rsid w:val="009046C2"/>
    <w:rsid w:val="00904E56"/>
    <w:rsid w:val="00905886"/>
    <w:rsid w:val="00905C64"/>
    <w:rsid w:val="00905F24"/>
    <w:rsid w:val="00905FA8"/>
    <w:rsid w:val="0090675B"/>
    <w:rsid w:val="00906AEA"/>
    <w:rsid w:val="00906BF3"/>
    <w:rsid w:val="00906C95"/>
    <w:rsid w:val="00907776"/>
    <w:rsid w:val="009078CA"/>
    <w:rsid w:val="00907BA4"/>
    <w:rsid w:val="00907EC1"/>
    <w:rsid w:val="00907FD1"/>
    <w:rsid w:val="00910197"/>
    <w:rsid w:val="0091091C"/>
    <w:rsid w:val="00910B46"/>
    <w:rsid w:val="00911320"/>
    <w:rsid w:val="009113AD"/>
    <w:rsid w:val="0091185C"/>
    <w:rsid w:val="0091189C"/>
    <w:rsid w:val="00911996"/>
    <w:rsid w:val="009119AA"/>
    <w:rsid w:val="00911A1A"/>
    <w:rsid w:val="00911A60"/>
    <w:rsid w:val="00912160"/>
    <w:rsid w:val="00912C86"/>
    <w:rsid w:val="00912D8F"/>
    <w:rsid w:val="009136D7"/>
    <w:rsid w:val="00913781"/>
    <w:rsid w:val="00913B5E"/>
    <w:rsid w:val="00914489"/>
    <w:rsid w:val="00914667"/>
    <w:rsid w:val="00914754"/>
    <w:rsid w:val="009149AF"/>
    <w:rsid w:val="00914A78"/>
    <w:rsid w:val="00914F7E"/>
    <w:rsid w:val="009151B7"/>
    <w:rsid w:val="0091570F"/>
    <w:rsid w:val="00916071"/>
    <w:rsid w:val="00916898"/>
    <w:rsid w:val="00916BF0"/>
    <w:rsid w:val="00916C57"/>
    <w:rsid w:val="00916DF0"/>
    <w:rsid w:val="00916F66"/>
    <w:rsid w:val="00917284"/>
    <w:rsid w:val="0091741F"/>
    <w:rsid w:val="009175AD"/>
    <w:rsid w:val="00917845"/>
    <w:rsid w:val="00917AB3"/>
    <w:rsid w:val="00917CD5"/>
    <w:rsid w:val="00917D3C"/>
    <w:rsid w:val="00917F16"/>
    <w:rsid w:val="00920194"/>
    <w:rsid w:val="00920555"/>
    <w:rsid w:val="009207F7"/>
    <w:rsid w:val="00920808"/>
    <w:rsid w:val="00921176"/>
    <w:rsid w:val="00921426"/>
    <w:rsid w:val="009216DB"/>
    <w:rsid w:val="00921B5B"/>
    <w:rsid w:val="00921BF2"/>
    <w:rsid w:val="00921F33"/>
    <w:rsid w:val="00922222"/>
    <w:rsid w:val="009223CD"/>
    <w:rsid w:val="00922449"/>
    <w:rsid w:val="0092259D"/>
    <w:rsid w:val="009226F2"/>
    <w:rsid w:val="0092293F"/>
    <w:rsid w:val="0092303C"/>
    <w:rsid w:val="009233E6"/>
    <w:rsid w:val="009234D1"/>
    <w:rsid w:val="009237FF"/>
    <w:rsid w:val="009240D1"/>
    <w:rsid w:val="009242D5"/>
    <w:rsid w:val="009247CE"/>
    <w:rsid w:val="009252CD"/>
    <w:rsid w:val="0092593B"/>
    <w:rsid w:val="00925E10"/>
    <w:rsid w:val="00926187"/>
    <w:rsid w:val="009263E6"/>
    <w:rsid w:val="009268FB"/>
    <w:rsid w:val="00926B3D"/>
    <w:rsid w:val="00926D40"/>
    <w:rsid w:val="00926DC0"/>
    <w:rsid w:val="00926F5F"/>
    <w:rsid w:val="00927243"/>
    <w:rsid w:val="00927397"/>
    <w:rsid w:val="009273B4"/>
    <w:rsid w:val="00927577"/>
    <w:rsid w:val="009275A6"/>
    <w:rsid w:val="009279FD"/>
    <w:rsid w:val="00927B8F"/>
    <w:rsid w:val="00927F4C"/>
    <w:rsid w:val="0093009A"/>
    <w:rsid w:val="009302E6"/>
    <w:rsid w:val="009308DA"/>
    <w:rsid w:val="0093097C"/>
    <w:rsid w:val="00930C49"/>
    <w:rsid w:val="0093129E"/>
    <w:rsid w:val="00931638"/>
    <w:rsid w:val="009318E4"/>
    <w:rsid w:val="009318E8"/>
    <w:rsid w:val="00931B55"/>
    <w:rsid w:val="00931D69"/>
    <w:rsid w:val="009322E8"/>
    <w:rsid w:val="0093277B"/>
    <w:rsid w:val="0093291A"/>
    <w:rsid w:val="00932984"/>
    <w:rsid w:val="009335A1"/>
    <w:rsid w:val="009338E2"/>
    <w:rsid w:val="0093398C"/>
    <w:rsid w:val="00933BBC"/>
    <w:rsid w:val="0093418F"/>
    <w:rsid w:val="00934415"/>
    <w:rsid w:val="0093556A"/>
    <w:rsid w:val="009356E6"/>
    <w:rsid w:val="009359C7"/>
    <w:rsid w:val="00935AE9"/>
    <w:rsid w:val="00935C40"/>
    <w:rsid w:val="00935C95"/>
    <w:rsid w:val="00935F52"/>
    <w:rsid w:val="00936AC4"/>
    <w:rsid w:val="00936FC7"/>
    <w:rsid w:val="00936FC9"/>
    <w:rsid w:val="00936FD0"/>
    <w:rsid w:val="0093709B"/>
    <w:rsid w:val="00937399"/>
    <w:rsid w:val="00937A72"/>
    <w:rsid w:val="009402C6"/>
    <w:rsid w:val="00940B10"/>
    <w:rsid w:val="00940D63"/>
    <w:rsid w:val="00940FC0"/>
    <w:rsid w:val="00941647"/>
    <w:rsid w:val="009416E0"/>
    <w:rsid w:val="00941BCD"/>
    <w:rsid w:val="00942631"/>
    <w:rsid w:val="009429CF"/>
    <w:rsid w:val="00942FD1"/>
    <w:rsid w:val="00943577"/>
    <w:rsid w:val="00943660"/>
    <w:rsid w:val="00943B1B"/>
    <w:rsid w:val="00944089"/>
    <w:rsid w:val="009440C7"/>
    <w:rsid w:val="009443DB"/>
    <w:rsid w:val="00944EF7"/>
    <w:rsid w:val="00944F2B"/>
    <w:rsid w:val="0094532F"/>
    <w:rsid w:val="00945625"/>
    <w:rsid w:val="00945A62"/>
    <w:rsid w:val="00945AAC"/>
    <w:rsid w:val="00945DFD"/>
    <w:rsid w:val="00945E24"/>
    <w:rsid w:val="00945FB5"/>
    <w:rsid w:val="0094609F"/>
    <w:rsid w:val="009460A0"/>
    <w:rsid w:val="00946120"/>
    <w:rsid w:val="00946308"/>
    <w:rsid w:val="0094668B"/>
    <w:rsid w:val="0094709A"/>
    <w:rsid w:val="009471F7"/>
    <w:rsid w:val="00947637"/>
    <w:rsid w:val="0094780F"/>
    <w:rsid w:val="009478AB"/>
    <w:rsid w:val="00947A68"/>
    <w:rsid w:val="00947B3E"/>
    <w:rsid w:val="00947C33"/>
    <w:rsid w:val="00947DDB"/>
    <w:rsid w:val="00947E95"/>
    <w:rsid w:val="009500A4"/>
    <w:rsid w:val="009505A3"/>
    <w:rsid w:val="009508BA"/>
    <w:rsid w:val="0095184F"/>
    <w:rsid w:val="00951A97"/>
    <w:rsid w:val="00951BFF"/>
    <w:rsid w:val="00951D3A"/>
    <w:rsid w:val="0095213B"/>
    <w:rsid w:val="00952558"/>
    <w:rsid w:val="009525C2"/>
    <w:rsid w:val="009527A1"/>
    <w:rsid w:val="00952ABD"/>
    <w:rsid w:val="00952BD3"/>
    <w:rsid w:val="00952C1A"/>
    <w:rsid w:val="00952C77"/>
    <w:rsid w:val="00952DB2"/>
    <w:rsid w:val="00952EC7"/>
    <w:rsid w:val="0095345D"/>
    <w:rsid w:val="00953697"/>
    <w:rsid w:val="00953891"/>
    <w:rsid w:val="00953D3D"/>
    <w:rsid w:val="00954242"/>
    <w:rsid w:val="009545C9"/>
    <w:rsid w:val="00954A19"/>
    <w:rsid w:val="00954BBC"/>
    <w:rsid w:val="00955093"/>
    <w:rsid w:val="009550E0"/>
    <w:rsid w:val="009551B5"/>
    <w:rsid w:val="0095527C"/>
    <w:rsid w:val="0095529A"/>
    <w:rsid w:val="00955517"/>
    <w:rsid w:val="009556C1"/>
    <w:rsid w:val="00955806"/>
    <w:rsid w:val="00955EAA"/>
    <w:rsid w:val="00955F3C"/>
    <w:rsid w:val="00956066"/>
    <w:rsid w:val="0095613A"/>
    <w:rsid w:val="00956375"/>
    <w:rsid w:val="00956567"/>
    <w:rsid w:val="0095658F"/>
    <w:rsid w:val="00956698"/>
    <w:rsid w:val="009567C1"/>
    <w:rsid w:val="0095707F"/>
    <w:rsid w:val="00957353"/>
    <w:rsid w:val="00960019"/>
    <w:rsid w:val="00960A01"/>
    <w:rsid w:val="00960A0D"/>
    <w:rsid w:val="00960AB4"/>
    <w:rsid w:val="00960D91"/>
    <w:rsid w:val="00960DBA"/>
    <w:rsid w:val="0096139A"/>
    <w:rsid w:val="009613E8"/>
    <w:rsid w:val="0096142F"/>
    <w:rsid w:val="00961716"/>
    <w:rsid w:val="00961A0A"/>
    <w:rsid w:val="00961BA9"/>
    <w:rsid w:val="00962306"/>
    <w:rsid w:val="009624FA"/>
    <w:rsid w:val="009627DF"/>
    <w:rsid w:val="00962EE3"/>
    <w:rsid w:val="00963CA2"/>
    <w:rsid w:val="00963F5E"/>
    <w:rsid w:val="00964E16"/>
    <w:rsid w:val="00964ED1"/>
    <w:rsid w:val="00964FF8"/>
    <w:rsid w:val="0096540F"/>
    <w:rsid w:val="009654E8"/>
    <w:rsid w:val="009656B6"/>
    <w:rsid w:val="00965A58"/>
    <w:rsid w:val="00965C7D"/>
    <w:rsid w:val="00965ECF"/>
    <w:rsid w:val="0096654F"/>
    <w:rsid w:val="00966691"/>
    <w:rsid w:val="00966E03"/>
    <w:rsid w:val="00966FD8"/>
    <w:rsid w:val="00967056"/>
    <w:rsid w:val="0096735B"/>
    <w:rsid w:val="00967660"/>
    <w:rsid w:val="00970078"/>
    <w:rsid w:val="00970A0A"/>
    <w:rsid w:val="00971097"/>
    <w:rsid w:val="009711F1"/>
    <w:rsid w:val="0097164B"/>
    <w:rsid w:val="0097167D"/>
    <w:rsid w:val="00971FC8"/>
    <w:rsid w:val="00972163"/>
    <w:rsid w:val="00972227"/>
    <w:rsid w:val="00972BC5"/>
    <w:rsid w:val="00972C33"/>
    <w:rsid w:val="00972D40"/>
    <w:rsid w:val="00972D44"/>
    <w:rsid w:val="00973593"/>
    <w:rsid w:val="009735A4"/>
    <w:rsid w:val="00973AE9"/>
    <w:rsid w:val="00973D01"/>
    <w:rsid w:val="00973E5E"/>
    <w:rsid w:val="0097403D"/>
    <w:rsid w:val="00974482"/>
    <w:rsid w:val="00974A79"/>
    <w:rsid w:val="00974CFE"/>
    <w:rsid w:val="00974D9F"/>
    <w:rsid w:val="009755CF"/>
    <w:rsid w:val="009758E6"/>
    <w:rsid w:val="00975925"/>
    <w:rsid w:val="00975931"/>
    <w:rsid w:val="00975963"/>
    <w:rsid w:val="00975F72"/>
    <w:rsid w:val="009764D6"/>
    <w:rsid w:val="009765AC"/>
    <w:rsid w:val="009769B7"/>
    <w:rsid w:val="00976FB0"/>
    <w:rsid w:val="00976FE5"/>
    <w:rsid w:val="0097700E"/>
    <w:rsid w:val="009770A0"/>
    <w:rsid w:val="00977450"/>
    <w:rsid w:val="00977505"/>
    <w:rsid w:val="0097772F"/>
    <w:rsid w:val="00977AE7"/>
    <w:rsid w:val="00977C26"/>
    <w:rsid w:val="00981563"/>
    <w:rsid w:val="009815BC"/>
    <w:rsid w:val="009818D0"/>
    <w:rsid w:val="00981A70"/>
    <w:rsid w:val="00981D95"/>
    <w:rsid w:val="009825DC"/>
    <w:rsid w:val="00982900"/>
    <w:rsid w:val="00982975"/>
    <w:rsid w:val="009833AE"/>
    <w:rsid w:val="0098344E"/>
    <w:rsid w:val="00983957"/>
    <w:rsid w:val="0098395F"/>
    <w:rsid w:val="00984512"/>
    <w:rsid w:val="00984C10"/>
    <w:rsid w:val="00984C56"/>
    <w:rsid w:val="00984D3B"/>
    <w:rsid w:val="00984E70"/>
    <w:rsid w:val="0098596E"/>
    <w:rsid w:val="00985D29"/>
    <w:rsid w:val="00985D55"/>
    <w:rsid w:val="00985EF6"/>
    <w:rsid w:val="00986174"/>
    <w:rsid w:val="00986221"/>
    <w:rsid w:val="0098693C"/>
    <w:rsid w:val="00986B76"/>
    <w:rsid w:val="00986BDD"/>
    <w:rsid w:val="00986CF7"/>
    <w:rsid w:val="00986EFB"/>
    <w:rsid w:val="00987212"/>
    <w:rsid w:val="00987589"/>
    <w:rsid w:val="009876BC"/>
    <w:rsid w:val="0098784C"/>
    <w:rsid w:val="00987A8E"/>
    <w:rsid w:val="00987BE6"/>
    <w:rsid w:val="00987FB5"/>
    <w:rsid w:val="009902CD"/>
    <w:rsid w:val="009908F6"/>
    <w:rsid w:val="00990B1E"/>
    <w:rsid w:val="00990FBF"/>
    <w:rsid w:val="0099118E"/>
    <w:rsid w:val="00991225"/>
    <w:rsid w:val="009917C6"/>
    <w:rsid w:val="00991C7D"/>
    <w:rsid w:val="00991C9A"/>
    <w:rsid w:val="00991FBB"/>
    <w:rsid w:val="00992125"/>
    <w:rsid w:val="00992335"/>
    <w:rsid w:val="009925A5"/>
    <w:rsid w:val="0099290A"/>
    <w:rsid w:val="00992AE7"/>
    <w:rsid w:val="00992D14"/>
    <w:rsid w:val="00992F8C"/>
    <w:rsid w:val="009935DD"/>
    <w:rsid w:val="00993A0B"/>
    <w:rsid w:val="00993A7B"/>
    <w:rsid w:val="00993E23"/>
    <w:rsid w:val="00993E90"/>
    <w:rsid w:val="00994135"/>
    <w:rsid w:val="0099434D"/>
    <w:rsid w:val="00994BCB"/>
    <w:rsid w:val="00995593"/>
    <w:rsid w:val="00995B2B"/>
    <w:rsid w:val="00995D2C"/>
    <w:rsid w:val="009960B6"/>
    <w:rsid w:val="0099626A"/>
    <w:rsid w:val="009964D2"/>
    <w:rsid w:val="00996DC1"/>
    <w:rsid w:val="00996DFD"/>
    <w:rsid w:val="00996E05"/>
    <w:rsid w:val="0099744D"/>
    <w:rsid w:val="00997746"/>
    <w:rsid w:val="00997A3E"/>
    <w:rsid w:val="00997A8E"/>
    <w:rsid w:val="009A0155"/>
    <w:rsid w:val="009A02E7"/>
    <w:rsid w:val="009A03EE"/>
    <w:rsid w:val="009A04BD"/>
    <w:rsid w:val="009A078D"/>
    <w:rsid w:val="009A0928"/>
    <w:rsid w:val="009A0BF9"/>
    <w:rsid w:val="009A0C05"/>
    <w:rsid w:val="009A0C86"/>
    <w:rsid w:val="009A0CDD"/>
    <w:rsid w:val="009A1090"/>
    <w:rsid w:val="009A10F1"/>
    <w:rsid w:val="009A12E9"/>
    <w:rsid w:val="009A1853"/>
    <w:rsid w:val="009A1BF9"/>
    <w:rsid w:val="009A1D8E"/>
    <w:rsid w:val="009A1E8A"/>
    <w:rsid w:val="009A232E"/>
    <w:rsid w:val="009A2461"/>
    <w:rsid w:val="009A2A34"/>
    <w:rsid w:val="009A2B27"/>
    <w:rsid w:val="009A2D35"/>
    <w:rsid w:val="009A32FD"/>
    <w:rsid w:val="009A3982"/>
    <w:rsid w:val="009A3E4F"/>
    <w:rsid w:val="009A4306"/>
    <w:rsid w:val="009A45E1"/>
    <w:rsid w:val="009A4666"/>
    <w:rsid w:val="009A496E"/>
    <w:rsid w:val="009A49A4"/>
    <w:rsid w:val="009A4AA3"/>
    <w:rsid w:val="009A4B49"/>
    <w:rsid w:val="009A4B5E"/>
    <w:rsid w:val="009A510E"/>
    <w:rsid w:val="009A518E"/>
    <w:rsid w:val="009A5459"/>
    <w:rsid w:val="009A587F"/>
    <w:rsid w:val="009A5BF9"/>
    <w:rsid w:val="009A5EE3"/>
    <w:rsid w:val="009A61A0"/>
    <w:rsid w:val="009A66F4"/>
    <w:rsid w:val="009A6942"/>
    <w:rsid w:val="009A6A07"/>
    <w:rsid w:val="009A6C9A"/>
    <w:rsid w:val="009A6FDD"/>
    <w:rsid w:val="009A7228"/>
    <w:rsid w:val="009A744B"/>
    <w:rsid w:val="009A7613"/>
    <w:rsid w:val="009A7EB7"/>
    <w:rsid w:val="009B0131"/>
    <w:rsid w:val="009B06F6"/>
    <w:rsid w:val="009B070E"/>
    <w:rsid w:val="009B0785"/>
    <w:rsid w:val="009B07BB"/>
    <w:rsid w:val="009B08F0"/>
    <w:rsid w:val="009B0A63"/>
    <w:rsid w:val="009B0A8C"/>
    <w:rsid w:val="009B0D52"/>
    <w:rsid w:val="009B0E5C"/>
    <w:rsid w:val="009B0F30"/>
    <w:rsid w:val="009B1047"/>
    <w:rsid w:val="009B11DE"/>
    <w:rsid w:val="009B1395"/>
    <w:rsid w:val="009B18C8"/>
    <w:rsid w:val="009B1909"/>
    <w:rsid w:val="009B1EB5"/>
    <w:rsid w:val="009B23B3"/>
    <w:rsid w:val="009B28F6"/>
    <w:rsid w:val="009B2C29"/>
    <w:rsid w:val="009B30E9"/>
    <w:rsid w:val="009B40BA"/>
    <w:rsid w:val="009B42EB"/>
    <w:rsid w:val="009B4485"/>
    <w:rsid w:val="009B4556"/>
    <w:rsid w:val="009B50CE"/>
    <w:rsid w:val="009B5964"/>
    <w:rsid w:val="009B5B33"/>
    <w:rsid w:val="009B5D22"/>
    <w:rsid w:val="009B60BE"/>
    <w:rsid w:val="009B6133"/>
    <w:rsid w:val="009B64EE"/>
    <w:rsid w:val="009B65C3"/>
    <w:rsid w:val="009B6745"/>
    <w:rsid w:val="009B72D4"/>
    <w:rsid w:val="009B7518"/>
    <w:rsid w:val="009B7B2D"/>
    <w:rsid w:val="009C063C"/>
    <w:rsid w:val="009C078A"/>
    <w:rsid w:val="009C129B"/>
    <w:rsid w:val="009C12BD"/>
    <w:rsid w:val="009C1361"/>
    <w:rsid w:val="009C1415"/>
    <w:rsid w:val="009C145A"/>
    <w:rsid w:val="009C1602"/>
    <w:rsid w:val="009C1611"/>
    <w:rsid w:val="009C1930"/>
    <w:rsid w:val="009C1978"/>
    <w:rsid w:val="009C19E2"/>
    <w:rsid w:val="009C1E20"/>
    <w:rsid w:val="009C21E1"/>
    <w:rsid w:val="009C24D5"/>
    <w:rsid w:val="009C25FF"/>
    <w:rsid w:val="009C26C0"/>
    <w:rsid w:val="009C2786"/>
    <w:rsid w:val="009C2BA7"/>
    <w:rsid w:val="009C3D79"/>
    <w:rsid w:val="009C41A1"/>
    <w:rsid w:val="009C44F4"/>
    <w:rsid w:val="009C49A0"/>
    <w:rsid w:val="009C5213"/>
    <w:rsid w:val="009C561D"/>
    <w:rsid w:val="009C5AB0"/>
    <w:rsid w:val="009C5D5C"/>
    <w:rsid w:val="009C5EFA"/>
    <w:rsid w:val="009C5FD9"/>
    <w:rsid w:val="009C6493"/>
    <w:rsid w:val="009C6AB5"/>
    <w:rsid w:val="009C7197"/>
    <w:rsid w:val="009C7598"/>
    <w:rsid w:val="009C7836"/>
    <w:rsid w:val="009C78CB"/>
    <w:rsid w:val="009C7BD4"/>
    <w:rsid w:val="009C7EEE"/>
    <w:rsid w:val="009D01A7"/>
    <w:rsid w:val="009D10D3"/>
    <w:rsid w:val="009D185A"/>
    <w:rsid w:val="009D1F32"/>
    <w:rsid w:val="009D1F83"/>
    <w:rsid w:val="009D2175"/>
    <w:rsid w:val="009D26B6"/>
    <w:rsid w:val="009D28EB"/>
    <w:rsid w:val="009D2B40"/>
    <w:rsid w:val="009D2D3E"/>
    <w:rsid w:val="009D3067"/>
    <w:rsid w:val="009D33CD"/>
    <w:rsid w:val="009D3AF6"/>
    <w:rsid w:val="009D3C06"/>
    <w:rsid w:val="009D3DB0"/>
    <w:rsid w:val="009D3F2C"/>
    <w:rsid w:val="009D4004"/>
    <w:rsid w:val="009D42DD"/>
    <w:rsid w:val="009D4927"/>
    <w:rsid w:val="009D52B3"/>
    <w:rsid w:val="009D5418"/>
    <w:rsid w:val="009D5591"/>
    <w:rsid w:val="009D5988"/>
    <w:rsid w:val="009D5F7B"/>
    <w:rsid w:val="009D6148"/>
    <w:rsid w:val="009D680A"/>
    <w:rsid w:val="009D6CD8"/>
    <w:rsid w:val="009D7160"/>
    <w:rsid w:val="009D7171"/>
    <w:rsid w:val="009D757A"/>
    <w:rsid w:val="009D779E"/>
    <w:rsid w:val="009D7BA2"/>
    <w:rsid w:val="009D7CFB"/>
    <w:rsid w:val="009D7D30"/>
    <w:rsid w:val="009E090B"/>
    <w:rsid w:val="009E0AD2"/>
    <w:rsid w:val="009E0F2A"/>
    <w:rsid w:val="009E154F"/>
    <w:rsid w:val="009E1936"/>
    <w:rsid w:val="009E1BEE"/>
    <w:rsid w:val="009E2009"/>
    <w:rsid w:val="009E231B"/>
    <w:rsid w:val="009E2487"/>
    <w:rsid w:val="009E2845"/>
    <w:rsid w:val="009E2EFB"/>
    <w:rsid w:val="009E31EB"/>
    <w:rsid w:val="009E394F"/>
    <w:rsid w:val="009E43F7"/>
    <w:rsid w:val="009E4499"/>
    <w:rsid w:val="009E4510"/>
    <w:rsid w:val="009E4516"/>
    <w:rsid w:val="009E4F5D"/>
    <w:rsid w:val="009E5095"/>
    <w:rsid w:val="009E5B55"/>
    <w:rsid w:val="009E5D81"/>
    <w:rsid w:val="009E61A0"/>
    <w:rsid w:val="009E65CE"/>
    <w:rsid w:val="009E6764"/>
    <w:rsid w:val="009E70A0"/>
    <w:rsid w:val="009E7592"/>
    <w:rsid w:val="009E7D3C"/>
    <w:rsid w:val="009F0164"/>
    <w:rsid w:val="009F021C"/>
    <w:rsid w:val="009F0252"/>
    <w:rsid w:val="009F04B2"/>
    <w:rsid w:val="009F07CB"/>
    <w:rsid w:val="009F0D48"/>
    <w:rsid w:val="009F1703"/>
    <w:rsid w:val="009F175E"/>
    <w:rsid w:val="009F1AF6"/>
    <w:rsid w:val="009F1F01"/>
    <w:rsid w:val="009F1F8B"/>
    <w:rsid w:val="009F1FF2"/>
    <w:rsid w:val="009F1FFB"/>
    <w:rsid w:val="009F256D"/>
    <w:rsid w:val="009F2826"/>
    <w:rsid w:val="009F29BC"/>
    <w:rsid w:val="009F2EB8"/>
    <w:rsid w:val="009F40ED"/>
    <w:rsid w:val="009F43E5"/>
    <w:rsid w:val="009F4901"/>
    <w:rsid w:val="009F49CE"/>
    <w:rsid w:val="009F4BA9"/>
    <w:rsid w:val="009F4DC5"/>
    <w:rsid w:val="009F4E46"/>
    <w:rsid w:val="009F5174"/>
    <w:rsid w:val="009F54E6"/>
    <w:rsid w:val="009F576D"/>
    <w:rsid w:val="009F5922"/>
    <w:rsid w:val="009F5F32"/>
    <w:rsid w:val="009F6030"/>
    <w:rsid w:val="009F714A"/>
    <w:rsid w:val="009F7301"/>
    <w:rsid w:val="009F7424"/>
    <w:rsid w:val="009F745D"/>
    <w:rsid w:val="009F7712"/>
    <w:rsid w:val="009F7E3E"/>
    <w:rsid w:val="00A00052"/>
    <w:rsid w:val="00A0018E"/>
    <w:rsid w:val="00A001C9"/>
    <w:rsid w:val="00A00340"/>
    <w:rsid w:val="00A00381"/>
    <w:rsid w:val="00A003D3"/>
    <w:rsid w:val="00A003F4"/>
    <w:rsid w:val="00A00A55"/>
    <w:rsid w:val="00A00CC8"/>
    <w:rsid w:val="00A00D9B"/>
    <w:rsid w:val="00A01079"/>
    <w:rsid w:val="00A01515"/>
    <w:rsid w:val="00A018DC"/>
    <w:rsid w:val="00A01DA0"/>
    <w:rsid w:val="00A02265"/>
    <w:rsid w:val="00A0298A"/>
    <w:rsid w:val="00A02B1B"/>
    <w:rsid w:val="00A0328D"/>
    <w:rsid w:val="00A0339D"/>
    <w:rsid w:val="00A034FB"/>
    <w:rsid w:val="00A03BA5"/>
    <w:rsid w:val="00A03CE4"/>
    <w:rsid w:val="00A03E9D"/>
    <w:rsid w:val="00A04818"/>
    <w:rsid w:val="00A04FB1"/>
    <w:rsid w:val="00A05237"/>
    <w:rsid w:val="00A05644"/>
    <w:rsid w:val="00A05825"/>
    <w:rsid w:val="00A0587A"/>
    <w:rsid w:val="00A0589C"/>
    <w:rsid w:val="00A05B06"/>
    <w:rsid w:val="00A05CF2"/>
    <w:rsid w:val="00A062CB"/>
    <w:rsid w:val="00A06804"/>
    <w:rsid w:val="00A06E9D"/>
    <w:rsid w:val="00A07220"/>
    <w:rsid w:val="00A0729C"/>
    <w:rsid w:val="00A079D1"/>
    <w:rsid w:val="00A07B8D"/>
    <w:rsid w:val="00A10508"/>
    <w:rsid w:val="00A1055F"/>
    <w:rsid w:val="00A10674"/>
    <w:rsid w:val="00A106E1"/>
    <w:rsid w:val="00A10AAA"/>
    <w:rsid w:val="00A10B5B"/>
    <w:rsid w:val="00A10E28"/>
    <w:rsid w:val="00A10E5D"/>
    <w:rsid w:val="00A116B3"/>
    <w:rsid w:val="00A11822"/>
    <w:rsid w:val="00A118C6"/>
    <w:rsid w:val="00A118C8"/>
    <w:rsid w:val="00A119DB"/>
    <w:rsid w:val="00A11B45"/>
    <w:rsid w:val="00A11CD8"/>
    <w:rsid w:val="00A11D43"/>
    <w:rsid w:val="00A12792"/>
    <w:rsid w:val="00A127EF"/>
    <w:rsid w:val="00A12A39"/>
    <w:rsid w:val="00A12AC5"/>
    <w:rsid w:val="00A12AC8"/>
    <w:rsid w:val="00A12DBB"/>
    <w:rsid w:val="00A13340"/>
    <w:rsid w:val="00A135E6"/>
    <w:rsid w:val="00A13973"/>
    <w:rsid w:val="00A13B1E"/>
    <w:rsid w:val="00A1439F"/>
    <w:rsid w:val="00A1447A"/>
    <w:rsid w:val="00A1460D"/>
    <w:rsid w:val="00A146D1"/>
    <w:rsid w:val="00A1474D"/>
    <w:rsid w:val="00A14A6F"/>
    <w:rsid w:val="00A14BD2"/>
    <w:rsid w:val="00A14C68"/>
    <w:rsid w:val="00A14F20"/>
    <w:rsid w:val="00A1524A"/>
    <w:rsid w:val="00A15787"/>
    <w:rsid w:val="00A15800"/>
    <w:rsid w:val="00A159C7"/>
    <w:rsid w:val="00A15EB8"/>
    <w:rsid w:val="00A166D4"/>
    <w:rsid w:val="00A16D58"/>
    <w:rsid w:val="00A17090"/>
    <w:rsid w:val="00A174BD"/>
    <w:rsid w:val="00A17539"/>
    <w:rsid w:val="00A17B17"/>
    <w:rsid w:val="00A17ECA"/>
    <w:rsid w:val="00A17F2A"/>
    <w:rsid w:val="00A200D5"/>
    <w:rsid w:val="00A20210"/>
    <w:rsid w:val="00A2038F"/>
    <w:rsid w:val="00A20544"/>
    <w:rsid w:val="00A206AE"/>
    <w:rsid w:val="00A20D1D"/>
    <w:rsid w:val="00A20F62"/>
    <w:rsid w:val="00A218EC"/>
    <w:rsid w:val="00A21998"/>
    <w:rsid w:val="00A219C4"/>
    <w:rsid w:val="00A21F86"/>
    <w:rsid w:val="00A22027"/>
    <w:rsid w:val="00A220B5"/>
    <w:rsid w:val="00A222A2"/>
    <w:rsid w:val="00A22626"/>
    <w:rsid w:val="00A2265D"/>
    <w:rsid w:val="00A22728"/>
    <w:rsid w:val="00A2338B"/>
    <w:rsid w:val="00A236E3"/>
    <w:rsid w:val="00A237DA"/>
    <w:rsid w:val="00A23BE5"/>
    <w:rsid w:val="00A23C49"/>
    <w:rsid w:val="00A240C7"/>
    <w:rsid w:val="00A243F3"/>
    <w:rsid w:val="00A24982"/>
    <w:rsid w:val="00A249EE"/>
    <w:rsid w:val="00A24AA3"/>
    <w:rsid w:val="00A25052"/>
    <w:rsid w:val="00A25251"/>
    <w:rsid w:val="00A259D5"/>
    <w:rsid w:val="00A25A3D"/>
    <w:rsid w:val="00A25DAB"/>
    <w:rsid w:val="00A260C1"/>
    <w:rsid w:val="00A26395"/>
    <w:rsid w:val="00A266AD"/>
    <w:rsid w:val="00A26B4E"/>
    <w:rsid w:val="00A26BB8"/>
    <w:rsid w:val="00A272AF"/>
    <w:rsid w:val="00A2739C"/>
    <w:rsid w:val="00A274C6"/>
    <w:rsid w:val="00A2792B"/>
    <w:rsid w:val="00A27E85"/>
    <w:rsid w:val="00A30059"/>
    <w:rsid w:val="00A3008D"/>
    <w:rsid w:val="00A30373"/>
    <w:rsid w:val="00A305C8"/>
    <w:rsid w:val="00A306E0"/>
    <w:rsid w:val="00A30FE9"/>
    <w:rsid w:val="00A3101A"/>
    <w:rsid w:val="00A3173F"/>
    <w:rsid w:val="00A31BCF"/>
    <w:rsid w:val="00A31D81"/>
    <w:rsid w:val="00A31EA7"/>
    <w:rsid w:val="00A325C3"/>
    <w:rsid w:val="00A328AB"/>
    <w:rsid w:val="00A328C2"/>
    <w:rsid w:val="00A32E64"/>
    <w:rsid w:val="00A32F26"/>
    <w:rsid w:val="00A32FC7"/>
    <w:rsid w:val="00A330F3"/>
    <w:rsid w:val="00A33284"/>
    <w:rsid w:val="00A33429"/>
    <w:rsid w:val="00A33907"/>
    <w:rsid w:val="00A33976"/>
    <w:rsid w:val="00A3400B"/>
    <w:rsid w:val="00A340EF"/>
    <w:rsid w:val="00A341C8"/>
    <w:rsid w:val="00A34281"/>
    <w:rsid w:val="00A3453D"/>
    <w:rsid w:val="00A35759"/>
    <w:rsid w:val="00A35D25"/>
    <w:rsid w:val="00A35E58"/>
    <w:rsid w:val="00A360E8"/>
    <w:rsid w:val="00A36252"/>
    <w:rsid w:val="00A362F1"/>
    <w:rsid w:val="00A36342"/>
    <w:rsid w:val="00A36402"/>
    <w:rsid w:val="00A3660B"/>
    <w:rsid w:val="00A36B81"/>
    <w:rsid w:val="00A372F9"/>
    <w:rsid w:val="00A3745D"/>
    <w:rsid w:val="00A37A3B"/>
    <w:rsid w:val="00A37D20"/>
    <w:rsid w:val="00A404AA"/>
    <w:rsid w:val="00A404DB"/>
    <w:rsid w:val="00A40ABF"/>
    <w:rsid w:val="00A40B73"/>
    <w:rsid w:val="00A40C3F"/>
    <w:rsid w:val="00A40C65"/>
    <w:rsid w:val="00A4110C"/>
    <w:rsid w:val="00A41884"/>
    <w:rsid w:val="00A419D2"/>
    <w:rsid w:val="00A419E6"/>
    <w:rsid w:val="00A41BD3"/>
    <w:rsid w:val="00A41C8D"/>
    <w:rsid w:val="00A422A3"/>
    <w:rsid w:val="00A423EF"/>
    <w:rsid w:val="00A425EE"/>
    <w:rsid w:val="00A426DA"/>
    <w:rsid w:val="00A42CCB"/>
    <w:rsid w:val="00A43001"/>
    <w:rsid w:val="00A430D5"/>
    <w:rsid w:val="00A432C9"/>
    <w:rsid w:val="00A43456"/>
    <w:rsid w:val="00A44109"/>
    <w:rsid w:val="00A4412A"/>
    <w:rsid w:val="00A445AF"/>
    <w:rsid w:val="00A4468F"/>
    <w:rsid w:val="00A44B20"/>
    <w:rsid w:val="00A44C23"/>
    <w:rsid w:val="00A45283"/>
    <w:rsid w:val="00A45463"/>
    <w:rsid w:val="00A46C52"/>
    <w:rsid w:val="00A46E6E"/>
    <w:rsid w:val="00A477A2"/>
    <w:rsid w:val="00A47940"/>
    <w:rsid w:val="00A47B4B"/>
    <w:rsid w:val="00A47BEA"/>
    <w:rsid w:val="00A47F59"/>
    <w:rsid w:val="00A50203"/>
    <w:rsid w:val="00A503DA"/>
    <w:rsid w:val="00A50419"/>
    <w:rsid w:val="00A50475"/>
    <w:rsid w:val="00A5081C"/>
    <w:rsid w:val="00A50CD8"/>
    <w:rsid w:val="00A511DA"/>
    <w:rsid w:val="00A5127E"/>
    <w:rsid w:val="00A514F6"/>
    <w:rsid w:val="00A51B81"/>
    <w:rsid w:val="00A51BA3"/>
    <w:rsid w:val="00A51BC5"/>
    <w:rsid w:val="00A51E3A"/>
    <w:rsid w:val="00A51EDC"/>
    <w:rsid w:val="00A51EEC"/>
    <w:rsid w:val="00A52562"/>
    <w:rsid w:val="00A52BE6"/>
    <w:rsid w:val="00A53081"/>
    <w:rsid w:val="00A533B0"/>
    <w:rsid w:val="00A5346A"/>
    <w:rsid w:val="00A5394C"/>
    <w:rsid w:val="00A54854"/>
    <w:rsid w:val="00A54869"/>
    <w:rsid w:val="00A551FE"/>
    <w:rsid w:val="00A55936"/>
    <w:rsid w:val="00A5595D"/>
    <w:rsid w:val="00A55E7D"/>
    <w:rsid w:val="00A55ED3"/>
    <w:rsid w:val="00A55EEE"/>
    <w:rsid w:val="00A55F63"/>
    <w:rsid w:val="00A55F9D"/>
    <w:rsid w:val="00A56199"/>
    <w:rsid w:val="00A56324"/>
    <w:rsid w:val="00A564C8"/>
    <w:rsid w:val="00A564EE"/>
    <w:rsid w:val="00A568FD"/>
    <w:rsid w:val="00A56B6B"/>
    <w:rsid w:val="00A56D8D"/>
    <w:rsid w:val="00A56D9A"/>
    <w:rsid w:val="00A56FBE"/>
    <w:rsid w:val="00A600CC"/>
    <w:rsid w:val="00A602BF"/>
    <w:rsid w:val="00A603B3"/>
    <w:rsid w:val="00A60805"/>
    <w:rsid w:val="00A60838"/>
    <w:rsid w:val="00A60A92"/>
    <w:rsid w:val="00A60AAB"/>
    <w:rsid w:val="00A60C42"/>
    <w:rsid w:val="00A60D99"/>
    <w:rsid w:val="00A60E41"/>
    <w:rsid w:val="00A614FB"/>
    <w:rsid w:val="00A61527"/>
    <w:rsid w:val="00A61D67"/>
    <w:rsid w:val="00A63806"/>
    <w:rsid w:val="00A63B64"/>
    <w:rsid w:val="00A642CE"/>
    <w:rsid w:val="00A6466F"/>
    <w:rsid w:val="00A64F74"/>
    <w:rsid w:val="00A64F75"/>
    <w:rsid w:val="00A650EC"/>
    <w:rsid w:val="00A65181"/>
    <w:rsid w:val="00A65415"/>
    <w:rsid w:val="00A6545D"/>
    <w:rsid w:val="00A65647"/>
    <w:rsid w:val="00A656EA"/>
    <w:rsid w:val="00A657AC"/>
    <w:rsid w:val="00A6585F"/>
    <w:rsid w:val="00A658EB"/>
    <w:rsid w:val="00A65B68"/>
    <w:rsid w:val="00A66106"/>
    <w:rsid w:val="00A662EA"/>
    <w:rsid w:val="00A6630D"/>
    <w:rsid w:val="00A664F1"/>
    <w:rsid w:val="00A674DC"/>
    <w:rsid w:val="00A6760A"/>
    <w:rsid w:val="00A67C48"/>
    <w:rsid w:val="00A67C6E"/>
    <w:rsid w:val="00A67F11"/>
    <w:rsid w:val="00A702DB"/>
    <w:rsid w:val="00A7058E"/>
    <w:rsid w:val="00A705AC"/>
    <w:rsid w:val="00A70600"/>
    <w:rsid w:val="00A70675"/>
    <w:rsid w:val="00A706A6"/>
    <w:rsid w:val="00A70730"/>
    <w:rsid w:val="00A70A40"/>
    <w:rsid w:val="00A70E07"/>
    <w:rsid w:val="00A71021"/>
    <w:rsid w:val="00A71236"/>
    <w:rsid w:val="00A71486"/>
    <w:rsid w:val="00A72135"/>
    <w:rsid w:val="00A72847"/>
    <w:rsid w:val="00A72C5E"/>
    <w:rsid w:val="00A73068"/>
    <w:rsid w:val="00A734AC"/>
    <w:rsid w:val="00A73E76"/>
    <w:rsid w:val="00A742EB"/>
    <w:rsid w:val="00A749BD"/>
    <w:rsid w:val="00A757F9"/>
    <w:rsid w:val="00A75B12"/>
    <w:rsid w:val="00A75C9A"/>
    <w:rsid w:val="00A75F98"/>
    <w:rsid w:val="00A75FFD"/>
    <w:rsid w:val="00A761D6"/>
    <w:rsid w:val="00A76A40"/>
    <w:rsid w:val="00A76EB8"/>
    <w:rsid w:val="00A775F6"/>
    <w:rsid w:val="00A77739"/>
    <w:rsid w:val="00A77EEE"/>
    <w:rsid w:val="00A8011F"/>
    <w:rsid w:val="00A80208"/>
    <w:rsid w:val="00A804ED"/>
    <w:rsid w:val="00A8060D"/>
    <w:rsid w:val="00A80981"/>
    <w:rsid w:val="00A80C31"/>
    <w:rsid w:val="00A80FCB"/>
    <w:rsid w:val="00A81212"/>
    <w:rsid w:val="00A81433"/>
    <w:rsid w:val="00A81529"/>
    <w:rsid w:val="00A81631"/>
    <w:rsid w:val="00A8167D"/>
    <w:rsid w:val="00A81CB3"/>
    <w:rsid w:val="00A824DF"/>
    <w:rsid w:val="00A82A62"/>
    <w:rsid w:val="00A82CF4"/>
    <w:rsid w:val="00A82E97"/>
    <w:rsid w:val="00A83001"/>
    <w:rsid w:val="00A83285"/>
    <w:rsid w:val="00A832D1"/>
    <w:rsid w:val="00A833E9"/>
    <w:rsid w:val="00A83409"/>
    <w:rsid w:val="00A83419"/>
    <w:rsid w:val="00A83876"/>
    <w:rsid w:val="00A83A54"/>
    <w:rsid w:val="00A83C48"/>
    <w:rsid w:val="00A845D7"/>
    <w:rsid w:val="00A848B4"/>
    <w:rsid w:val="00A84F46"/>
    <w:rsid w:val="00A850EB"/>
    <w:rsid w:val="00A854E7"/>
    <w:rsid w:val="00A85738"/>
    <w:rsid w:val="00A85823"/>
    <w:rsid w:val="00A858D5"/>
    <w:rsid w:val="00A85F69"/>
    <w:rsid w:val="00A865B3"/>
    <w:rsid w:val="00A8717F"/>
    <w:rsid w:val="00A874A5"/>
    <w:rsid w:val="00A875C7"/>
    <w:rsid w:val="00A906A8"/>
    <w:rsid w:val="00A90A12"/>
    <w:rsid w:val="00A90A97"/>
    <w:rsid w:val="00A90AA2"/>
    <w:rsid w:val="00A91197"/>
    <w:rsid w:val="00A91235"/>
    <w:rsid w:val="00A91391"/>
    <w:rsid w:val="00A913D1"/>
    <w:rsid w:val="00A91489"/>
    <w:rsid w:val="00A91925"/>
    <w:rsid w:val="00A91996"/>
    <w:rsid w:val="00A92493"/>
    <w:rsid w:val="00A926B4"/>
    <w:rsid w:val="00A9342F"/>
    <w:rsid w:val="00A93F0C"/>
    <w:rsid w:val="00A93F85"/>
    <w:rsid w:val="00A945B5"/>
    <w:rsid w:val="00A946FB"/>
    <w:rsid w:val="00A94AB5"/>
    <w:rsid w:val="00A9511B"/>
    <w:rsid w:val="00A95800"/>
    <w:rsid w:val="00A95930"/>
    <w:rsid w:val="00A95FF4"/>
    <w:rsid w:val="00A96114"/>
    <w:rsid w:val="00A961F8"/>
    <w:rsid w:val="00A96456"/>
    <w:rsid w:val="00A96A2C"/>
    <w:rsid w:val="00A96F3B"/>
    <w:rsid w:val="00A97010"/>
    <w:rsid w:val="00A9743F"/>
    <w:rsid w:val="00A9755C"/>
    <w:rsid w:val="00A9785D"/>
    <w:rsid w:val="00A97CF9"/>
    <w:rsid w:val="00A97F8E"/>
    <w:rsid w:val="00AA0555"/>
    <w:rsid w:val="00AA07BA"/>
    <w:rsid w:val="00AA14B1"/>
    <w:rsid w:val="00AA170E"/>
    <w:rsid w:val="00AA1F9D"/>
    <w:rsid w:val="00AA237D"/>
    <w:rsid w:val="00AA26A2"/>
    <w:rsid w:val="00AA29C5"/>
    <w:rsid w:val="00AA38F0"/>
    <w:rsid w:val="00AA399B"/>
    <w:rsid w:val="00AA3CD5"/>
    <w:rsid w:val="00AA3F0B"/>
    <w:rsid w:val="00AA41DF"/>
    <w:rsid w:val="00AA4377"/>
    <w:rsid w:val="00AA4C51"/>
    <w:rsid w:val="00AA4CD9"/>
    <w:rsid w:val="00AA50E4"/>
    <w:rsid w:val="00AA5160"/>
    <w:rsid w:val="00AA5209"/>
    <w:rsid w:val="00AA5378"/>
    <w:rsid w:val="00AA579D"/>
    <w:rsid w:val="00AA5E08"/>
    <w:rsid w:val="00AA5EF4"/>
    <w:rsid w:val="00AA5F81"/>
    <w:rsid w:val="00AA6257"/>
    <w:rsid w:val="00AA6527"/>
    <w:rsid w:val="00AA655C"/>
    <w:rsid w:val="00AA73B6"/>
    <w:rsid w:val="00AA74C4"/>
    <w:rsid w:val="00AA7589"/>
    <w:rsid w:val="00AA7785"/>
    <w:rsid w:val="00AA7969"/>
    <w:rsid w:val="00AA7ED0"/>
    <w:rsid w:val="00AB0169"/>
    <w:rsid w:val="00AB0E70"/>
    <w:rsid w:val="00AB0F90"/>
    <w:rsid w:val="00AB0F97"/>
    <w:rsid w:val="00AB119A"/>
    <w:rsid w:val="00AB209F"/>
    <w:rsid w:val="00AB242A"/>
    <w:rsid w:val="00AB2970"/>
    <w:rsid w:val="00AB3007"/>
    <w:rsid w:val="00AB316D"/>
    <w:rsid w:val="00AB33AB"/>
    <w:rsid w:val="00AB342F"/>
    <w:rsid w:val="00AB3657"/>
    <w:rsid w:val="00AB368A"/>
    <w:rsid w:val="00AB36AF"/>
    <w:rsid w:val="00AB3829"/>
    <w:rsid w:val="00AB3D32"/>
    <w:rsid w:val="00AB3E79"/>
    <w:rsid w:val="00AB4085"/>
    <w:rsid w:val="00AB41B7"/>
    <w:rsid w:val="00AB443D"/>
    <w:rsid w:val="00AB4800"/>
    <w:rsid w:val="00AB48F2"/>
    <w:rsid w:val="00AB5458"/>
    <w:rsid w:val="00AB55C4"/>
    <w:rsid w:val="00AB55FF"/>
    <w:rsid w:val="00AB5D16"/>
    <w:rsid w:val="00AB60FF"/>
    <w:rsid w:val="00AB61E2"/>
    <w:rsid w:val="00AB6CBE"/>
    <w:rsid w:val="00AB7194"/>
    <w:rsid w:val="00AB7413"/>
    <w:rsid w:val="00AB755F"/>
    <w:rsid w:val="00AB776E"/>
    <w:rsid w:val="00AB7846"/>
    <w:rsid w:val="00AB789A"/>
    <w:rsid w:val="00AB7B3D"/>
    <w:rsid w:val="00AB7FF3"/>
    <w:rsid w:val="00AC027A"/>
    <w:rsid w:val="00AC03F8"/>
    <w:rsid w:val="00AC09EA"/>
    <w:rsid w:val="00AC0DF6"/>
    <w:rsid w:val="00AC1647"/>
    <w:rsid w:val="00AC17B6"/>
    <w:rsid w:val="00AC1C33"/>
    <w:rsid w:val="00AC2423"/>
    <w:rsid w:val="00AC2428"/>
    <w:rsid w:val="00AC24AB"/>
    <w:rsid w:val="00AC26BF"/>
    <w:rsid w:val="00AC2999"/>
    <w:rsid w:val="00AC2AE1"/>
    <w:rsid w:val="00AC319A"/>
    <w:rsid w:val="00AC39ED"/>
    <w:rsid w:val="00AC3E2D"/>
    <w:rsid w:val="00AC3E3D"/>
    <w:rsid w:val="00AC466B"/>
    <w:rsid w:val="00AC48E5"/>
    <w:rsid w:val="00AC523F"/>
    <w:rsid w:val="00AC534E"/>
    <w:rsid w:val="00AC55AD"/>
    <w:rsid w:val="00AC594A"/>
    <w:rsid w:val="00AC5D88"/>
    <w:rsid w:val="00AC64F5"/>
    <w:rsid w:val="00AC6A21"/>
    <w:rsid w:val="00AC6AD2"/>
    <w:rsid w:val="00AC6AD4"/>
    <w:rsid w:val="00AC6DB4"/>
    <w:rsid w:val="00AC6E85"/>
    <w:rsid w:val="00AC7383"/>
    <w:rsid w:val="00AC75B2"/>
    <w:rsid w:val="00AC7E2E"/>
    <w:rsid w:val="00AC7FBB"/>
    <w:rsid w:val="00AD0670"/>
    <w:rsid w:val="00AD0C6A"/>
    <w:rsid w:val="00AD10F5"/>
    <w:rsid w:val="00AD1448"/>
    <w:rsid w:val="00AD173B"/>
    <w:rsid w:val="00AD182F"/>
    <w:rsid w:val="00AD2598"/>
    <w:rsid w:val="00AD2815"/>
    <w:rsid w:val="00AD2DA7"/>
    <w:rsid w:val="00AD2DAD"/>
    <w:rsid w:val="00AD2E9B"/>
    <w:rsid w:val="00AD384B"/>
    <w:rsid w:val="00AD3C52"/>
    <w:rsid w:val="00AD4899"/>
    <w:rsid w:val="00AD4975"/>
    <w:rsid w:val="00AD499C"/>
    <w:rsid w:val="00AD4B35"/>
    <w:rsid w:val="00AD4DE3"/>
    <w:rsid w:val="00AD4E8C"/>
    <w:rsid w:val="00AD53D1"/>
    <w:rsid w:val="00AD5620"/>
    <w:rsid w:val="00AD5720"/>
    <w:rsid w:val="00AD5CDD"/>
    <w:rsid w:val="00AD5DF6"/>
    <w:rsid w:val="00AD602E"/>
    <w:rsid w:val="00AD6884"/>
    <w:rsid w:val="00AD6A49"/>
    <w:rsid w:val="00AD6ADC"/>
    <w:rsid w:val="00AD6B3A"/>
    <w:rsid w:val="00AD714E"/>
    <w:rsid w:val="00AD7288"/>
    <w:rsid w:val="00AD7341"/>
    <w:rsid w:val="00AD7448"/>
    <w:rsid w:val="00AD7617"/>
    <w:rsid w:val="00AD7EF5"/>
    <w:rsid w:val="00AE0863"/>
    <w:rsid w:val="00AE0B05"/>
    <w:rsid w:val="00AE0E9E"/>
    <w:rsid w:val="00AE0F57"/>
    <w:rsid w:val="00AE17C6"/>
    <w:rsid w:val="00AE1A04"/>
    <w:rsid w:val="00AE1A30"/>
    <w:rsid w:val="00AE20AE"/>
    <w:rsid w:val="00AE2452"/>
    <w:rsid w:val="00AE2584"/>
    <w:rsid w:val="00AE277E"/>
    <w:rsid w:val="00AE2AB0"/>
    <w:rsid w:val="00AE2FEC"/>
    <w:rsid w:val="00AE302B"/>
    <w:rsid w:val="00AE3360"/>
    <w:rsid w:val="00AE370D"/>
    <w:rsid w:val="00AE3A9A"/>
    <w:rsid w:val="00AE3C2F"/>
    <w:rsid w:val="00AE4910"/>
    <w:rsid w:val="00AE525B"/>
    <w:rsid w:val="00AE53F9"/>
    <w:rsid w:val="00AE59ED"/>
    <w:rsid w:val="00AE6166"/>
    <w:rsid w:val="00AE647E"/>
    <w:rsid w:val="00AE6782"/>
    <w:rsid w:val="00AE67E4"/>
    <w:rsid w:val="00AE67EC"/>
    <w:rsid w:val="00AE6A80"/>
    <w:rsid w:val="00AE6AF6"/>
    <w:rsid w:val="00AE6B3F"/>
    <w:rsid w:val="00AE6D29"/>
    <w:rsid w:val="00AE6F02"/>
    <w:rsid w:val="00AE6F05"/>
    <w:rsid w:val="00AE6F29"/>
    <w:rsid w:val="00AE73F0"/>
    <w:rsid w:val="00AE74D1"/>
    <w:rsid w:val="00AE7572"/>
    <w:rsid w:val="00AE7841"/>
    <w:rsid w:val="00AE7C29"/>
    <w:rsid w:val="00AE7CB5"/>
    <w:rsid w:val="00AE7E3C"/>
    <w:rsid w:val="00AE7F80"/>
    <w:rsid w:val="00AF02AA"/>
    <w:rsid w:val="00AF040B"/>
    <w:rsid w:val="00AF0721"/>
    <w:rsid w:val="00AF0927"/>
    <w:rsid w:val="00AF097E"/>
    <w:rsid w:val="00AF0BC8"/>
    <w:rsid w:val="00AF0C43"/>
    <w:rsid w:val="00AF0D13"/>
    <w:rsid w:val="00AF0F63"/>
    <w:rsid w:val="00AF12BA"/>
    <w:rsid w:val="00AF13CE"/>
    <w:rsid w:val="00AF13EB"/>
    <w:rsid w:val="00AF14AD"/>
    <w:rsid w:val="00AF14FE"/>
    <w:rsid w:val="00AF18AB"/>
    <w:rsid w:val="00AF1FB5"/>
    <w:rsid w:val="00AF276B"/>
    <w:rsid w:val="00AF2994"/>
    <w:rsid w:val="00AF29B7"/>
    <w:rsid w:val="00AF2F7C"/>
    <w:rsid w:val="00AF32BD"/>
    <w:rsid w:val="00AF347B"/>
    <w:rsid w:val="00AF3607"/>
    <w:rsid w:val="00AF394E"/>
    <w:rsid w:val="00AF397F"/>
    <w:rsid w:val="00AF3CBB"/>
    <w:rsid w:val="00AF3F89"/>
    <w:rsid w:val="00AF40CF"/>
    <w:rsid w:val="00AF4652"/>
    <w:rsid w:val="00AF471C"/>
    <w:rsid w:val="00AF48CE"/>
    <w:rsid w:val="00AF48D3"/>
    <w:rsid w:val="00AF4B84"/>
    <w:rsid w:val="00AF4E0C"/>
    <w:rsid w:val="00AF5107"/>
    <w:rsid w:val="00AF5D6B"/>
    <w:rsid w:val="00AF60E4"/>
    <w:rsid w:val="00AF665C"/>
    <w:rsid w:val="00AF669D"/>
    <w:rsid w:val="00AF69AF"/>
    <w:rsid w:val="00AF6F94"/>
    <w:rsid w:val="00AF6F9B"/>
    <w:rsid w:val="00AF70B0"/>
    <w:rsid w:val="00AF7318"/>
    <w:rsid w:val="00AF7324"/>
    <w:rsid w:val="00AF77E4"/>
    <w:rsid w:val="00AF7C83"/>
    <w:rsid w:val="00AF7D05"/>
    <w:rsid w:val="00AF7E99"/>
    <w:rsid w:val="00B00241"/>
    <w:rsid w:val="00B0086C"/>
    <w:rsid w:val="00B00A82"/>
    <w:rsid w:val="00B00D0B"/>
    <w:rsid w:val="00B00F21"/>
    <w:rsid w:val="00B010CC"/>
    <w:rsid w:val="00B0154F"/>
    <w:rsid w:val="00B01713"/>
    <w:rsid w:val="00B01A15"/>
    <w:rsid w:val="00B01B79"/>
    <w:rsid w:val="00B020F8"/>
    <w:rsid w:val="00B02A1D"/>
    <w:rsid w:val="00B02A5E"/>
    <w:rsid w:val="00B02D7C"/>
    <w:rsid w:val="00B030DD"/>
    <w:rsid w:val="00B031E2"/>
    <w:rsid w:val="00B03B0F"/>
    <w:rsid w:val="00B043BC"/>
    <w:rsid w:val="00B043F5"/>
    <w:rsid w:val="00B047A4"/>
    <w:rsid w:val="00B04A83"/>
    <w:rsid w:val="00B0538D"/>
    <w:rsid w:val="00B05552"/>
    <w:rsid w:val="00B05C40"/>
    <w:rsid w:val="00B061B2"/>
    <w:rsid w:val="00B06A04"/>
    <w:rsid w:val="00B06A23"/>
    <w:rsid w:val="00B06D51"/>
    <w:rsid w:val="00B0754C"/>
    <w:rsid w:val="00B1008E"/>
    <w:rsid w:val="00B10558"/>
    <w:rsid w:val="00B11050"/>
    <w:rsid w:val="00B110A4"/>
    <w:rsid w:val="00B112D8"/>
    <w:rsid w:val="00B1153D"/>
    <w:rsid w:val="00B115AB"/>
    <w:rsid w:val="00B11CBF"/>
    <w:rsid w:val="00B1216F"/>
    <w:rsid w:val="00B12349"/>
    <w:rsid w:val="00B126BD"/>
    <w:rsid w:val="00B12716"/>
    <w:rsid w:val="00B12C7A"/>
    <w:rsid w:val="00B14102"/>
    <w:rsid w:val="00B14A2C"/>
    <w:rsid w:val="00B14B1C"/>
    <w:rsid w:val="00B14FE7"/>
    <w:rsid w:val="00B1515A"/>
    <w:rsid w:val="00B1591E"/>
    <w:rsid w:val="00B15DA8"/>
    <w:rsid w:val="00B15E9F"/>
    <w:rsid w:val="00B15EA9"/>
    <w:rsid w:val="00B16088"/>
    <w:rsid w:val="00B16089"/>
    <w:rsid w:val="00B1647C"/>
    <w:rsid w:val="00B1678B"/>
    <w:rsid w:val="00B16DE7"/>
    <w:rsid w:val="00B16FD7"/>
    <w:rsid w:val="00B1704C"/>
    <w:rsid w:val="00B2031D"/>
    <w:rsid w:val="00B2057F"/>
    <w:rsid w:val="00B21713"/>
    <w:rsid w:val="00B21A59"/>
    <w:rsid w:val="00B21FE4"/>
    <w:rsid w:val="00B2229A"/>
    <w:rsid w:val="00B22820"/>
    <w:rsid w:val="00B22C21"/>
    <w:rsid w:val="00B22D14"/>
    <w:rsid w:val="00B22D9C"/>
    <w:rsid w:val="00B23903"/>
    <w:rsid w:val="00B23BCA"/>
    <w:rsid w:val="00B23D75"/>
    <w:rsid w:val="00B24173"/>
    <w:rsid w:val="00B242C2"/>
    <w:rsid w:val="00B25770"/>
    <w:rsid w:val="00B25B11"/>
    <w:rsid w:val="00B25E0D"/>
    <w:rsid w:val="00B25F71"/>
    <w:rsid w:val="00B261CA"/>
    <w:rsid w:val="00B262F2"/>
    <w:rsid w:val="00B26534"/>
    <w:rsid w:val="00B26857"/>
    <w:rsid w:val="00B26D4A"/>
    <w:rsid w:val="00B271B1"/>
    <w:rsid w:val="00B27695"/>
    <w:rsid w:val="00B27A18"/>
    <w:rsid w:val="00B27A74"/>
    <w:rsid w:val="00B27BAD"/>
    <w:rsid w:val="00B27CEE"/>
    <w:rsid w:val="00B27D23"/>
    <w:rsid w:val="00B27D5C"/>
    <w:rsid w:val="00B30167"/>
    <w:rsid w:val="00B306C1"/>
    <w:rsid w:val="00B312C8"/>
    <w:rsid w:val="00B31C5E"/>
    <w:rsid w:val="00B31CCF"/>
    <w:rsid w:val="00B31DE8"/>
    <w:rsid w:val="00B31E3A"/>
    <w:rsid w:val="00B31F60"/>
    <w:rsid w:val="00B326E1"/>
    <w:rsid w:val="00B32796"/>
    <w:rsid w:val="00B32B02"/>
    <w:rsid w:val="00B32CBC"/>
    <w:rsid w:val="00B32D75"/>
    <w:rsid w:val="00B330D3"/>
    <w:rsid w:val="00B33417"/>
    <w:rsid w:val="00B336BC"/>
    <w:rsid w:val="00B33741"/>
    <w:rsid w:val="00B33F0E"/>
    <w:rsid w:val="00B34755"/>
    <w:rsid w:val="00B347EB"/>
    <w:rsid w:val="00B34A07"/>
    <w:rsid w:val="00B34E2E"/>
    <w:rsid w:val="00B354B4"/>
    <w:rsid w:val="00B3554A"/>
    <w:rsid w:val="00B359BE"/>
    <w:rsid w:val="00B35F42"/>
    <w:rsid w:val="00B36357"/>
    <w:rsid w:val="00B36847"/>
    <w:rsid w:val="00B36DB4"/>
    <w:rsid w:val="00B371B9"/>
    <w:rsid w:val="00B40256"/>
    <w:rsid w:val="00B40345"/>
    <w:rsid w:val="00B40AEA"/>
    <w:rsid w:val="00B4112C"/>
    <w:rsid w:val="00B4116D"/>
    <w:rsid w:val="00B411E1"/>
    <w:rsid w:val="00B41362"/>
    <w:rsid w:val="00B41956"/>
    <w:rsid w:val="00B41989"/>
    <w:rsid w:val="00B41C49"/>
    <w:rsid w:val="00B41CCD"/>
    <w:rsid w:val="00B41EC9"/>
    <w:rsid w:val="00B42280"/>
    <w:rsid w:val="00B42332"/>
    <w:rsid w:val="00B4241A"/>
    <w:rsid w:val="00B42AD4"/>
    <w:rsid w:val="00B42E2E"/>
    <w:rsid w:val="00B42E3C"/>
    <w:rsid w:val="00B42ECD"/>
    <w:rsid w:val="00B42FD5"/>
    <w:rsid w:val="00B4343B"/>
    <w:rsid w:val="00B446C8"/>
    <w:rsid w:val="00B44765"/>
    <w:rsid w:val="00B449B7"/>
    <w:rsid w:val="00B44A35"/>
    <w:rsid w:val="00B44A68"/>
    <w:rsid w:val="00B44BF6"/>
    <w:rsid w:val="00B4502E"/>
    <w:rsid w:val="00B4504A"/>
    <w:rsid w:val="00B453A0"/>
    <w:rsid w:val="00B45BD6"/>
    <w:rsid w:val="00B4614D"/>
    <w:rsid w:val="00B46CEC"/>
    <w:rsid w:val="00B46DB0"/>
    <w:rsid w:val="00B46EC7"/>
    <w:rsid w:val="00B4727B"/>
    <w:rsid w:val="00B472B4"/>
    <w:rsid w:val="00B47376"/>
    <w:rsid w:val="00B47572"/>
    <w:rsid w:val="00B5003B"/>
    <w:rsid w:val="00B50119"/>
    <w:rsid w:val="00B505CF"/>
    <w:rsid w:val="00B50B74"/>
    <w:rsid w:val="00B50C4B"/>
    <w:rsid w:val="00B50FA0"/>
    <w:rsid w:val="00B50FB8"/>
    <w:rsid w:val="00B5138E"/>
    <w:rsid w:val="00B514A1"/>
    <w:rsid w:val="00B51797"/>
    <w:rsid w:val="00B51AA3"/>
    <w:rsid w:val="00B52147"/>
    <w:rsid w:val="00B52258"/>
    <w:rsid w:val="00B52432"/>
    <w:rsid w:val="00B5272A"/>
    <w:rsid w:val="00B5278F"/>
    <w:rsid w:val="00B52EE7"/>
    <w:rsid w:val="00B52F29"/>
    <w:rsid w:val="00B52F8E"/>
    <w:rsid w:val="00B53168"/>
    <w:rsid w:val="00B534CC"/>
    <w:rsid w:val="00B53517"/>
    <w:rsid w:val="00B538F8"/>
    <w:rsid w:val="00B53D3E"/>
    <w:rsid w:val="00B54517"/>
    <w:rsid w:val="00B5466A"/>
    <w:rsid w:val="00B54B6B"/>
    <w:rsid w:val="00B54C47"/>
    <w:rsid w:val="00B54D86"/>
    <w:rsid w:val="00B54DBE"/>
    <w:rsid w:val="00B54EA6"/>
    <w:rsid w:val="00B5513B"/>
    <w:rsid w:val="00B553B6"/>
    <w:rsid w:val="00B5594C"/>
    <w:rsid w:val="00B559A3"/>
    <w:rsid w:val="00B55C47"/>
    <w:rsid w:val="00B55D76"/>
    <w:rsid w:val="00B55E20"/>
    <w:rsid w:val="00B55F8F"/>
    <w:rsid w:val="00B56104"/>
    <w:rsid w:val="00B561AD"/>
    <w:rsid w:val="00B562C5"/>
    <w:rsid w:val="00B56FB8"/>
    <w:rsid w:val="00B5724C"/>
    <w:rsid w:val="00B57543"/>
    <w:rsid w:val="00B576C7"/>
    <w:rsid w:val="00B57829"/>
    <w:rsid w:val="00B57AF2"/>
    <w:rsid w:val="00B57D51"/>
    <w:rsid w:val="00B57D5E"/>
    <w:rsid w:val="00B57DF6"/>
    <w:rsid w:val="00B57E89"/>
    <w:rsid w:val="00B57EE2"/>
    <w:rsid w:val="00B6042A"/>
    <w:rsid w:val="00B6075A"/>
    <w:rsid w:val="00B60904"/>
    <w:rsid w:val="00B60A31"/>
    <w:rsid w:val="00B60BC4"/>
    <w:rsid w:val="00B6170F"/>
    <w:rsid w:val="00B618F2"/>
    <w:rsid w:val="00B61A47"/>
    <w:rsid w:val="00B61BC6"/>
    <w:rsid w:val="00B61D50"/>
    <w:rsid w:val="00B61FBA"/>
    <w:rsid w:val="00B6258A"/>
    <w:rsid w:val="00B62677"/>
    <w:rsid w:val="00B629BA"/>
    <w:rsid w:val="00B629C4"/>
    <w:rsid w:val="00B6314B"/>
    <w:rsid w:val="00B6342B"/>
    <w:rsid w:val="00B63C6E"/>
    <w:rsid w:val="00B63E45"/>
    <w:rsid w:val="00B63E73"/>
    <w:rsid w:val="00B6400D"/>
    <w:rsid w:val="00B643AD"/>
    <w:rsid w:val="00B644AA"/>
    <w:rsid w:val="00B64677"/>
    <w:rsid w:val="00B64BEE"/>
    <w:rsid w:val="00B6550A"/>
    <w:rsid w:val="00B656D3"/>
    <w:rsid w:val="00B65D23"/>
    <w:rsid w:val="00B65F7E"/>
    <w:rsid w:val="00B66053"/>
    <w:rsid w:val="00B660E5"/>
    <w:rsid w:val="00B66256"/>
    <w:rsid w:val="00B666AB"/>
    <w:rsid w:val="00B66B76"/>
    <w:rsid w:val="00B671DE"/>
    <w:rsid w:val="00B6736C"/>
    <w:rsid w:val="00B67A39"/>
    <w:rsid w:val="00B67A9A"/>
    <w:rsid w:val="00B67D6C"/>
    <w:rsid w:val="00B67ECD"/>
    <w:rsid w:val="00B70170"/>
    <w:rsid w:val="00B70272"/>
    <w:rsid w:val="00B70577"/>
    <w:rsid w:val="00B70BFD"/>
    <w:rsid w:val="00B70DA4"/>
    <w:rsid w:val="00B70E77"/>
    <w:rsid w:val="00B71660"/>
    <w:rsid w:val="00B724D9"/>
    <w:rsid w:val="00B728D0"/>
    <w:rsid w:val="00B72AB3"/>
    <w:rsid w:val="00B72CB9"/>
    <w:rsid w:val="00B72DBE"/>
    <w:rsid w:val="00B731B9"/>
    <w:rsid w:val="00B734A8"/>
    <w:rsid w:val="00B734E7"/>
    <w:rsid w:val="00B736A1"/>
    <w:rsid w:val="00B737C2"/>
    <w:rsid w:val="00B73E4A"/>
    <w:rsid w:val="00B7412E"/>
    <w:rsid w:val="00B742FA"/>
    <w:rsid w:val="00B74531"/>
    <w:rsid w:val="00B75062"/>
    <w:rsid w:val="00B75195"/>
    <w:rsid w:val="00B759C5"/>
    <w:rsid w:val="00B75D92"/>
    <w:rsid w:val="00B75ED8"/>
    <w:rsid w:val="00B76078"/>
    <w:rsid w:val="00B761A6"/>
    <w:rsid w:val="00B7666E"/>
    <w:rsid w:val="00B76812"/>
    <w:rsid w:val="00B76EB5"/>
    <w:rsid w:val="00B77067"/>
    <w:rsid w:val="00B77483"/>
    <w:rsid w:val="00B77B1E"/>
    <w:rsid w:val="00B8008C"/>
    <w:rsid w:val="00B80308"/>
    <w:rsid w:val="00B8074D"/>
    <w:rsid w:val="00B80E6D"/>
    <w:rsid w:val="00B80E8D"/>
    <w:rsid w:val="00B80EC6"/>
    <w:rsid w:val="00B81912"/>
    <w:rsid w:val="00B81A8C"/>
    <w:rsid w:val="00B81DDF"/>
    <w:rsid w:val="00B81E69"/>
    <w:rsid w:val="00B8268D"/>
    <w:rsid w:val="00B83078"/>
    <w:rsid w:val="00B838D3"/>
    <w:rsid w:val="00B84055"/>
    <w:rsid w:val="00B84167"/>
    <w:rsid w:val="00B843AA"/>
    <w:rsid w:val="00B84730"/>
    <w:rsid w:val="00B84FC5"/>
    <w:rsid w:val="00B866CD"/>
    <w:rsid w:val="00B86E73"/>
    <w:rsid w:val="00B870DD"/>
    <w:rsid w:val="00B8743E"/>
    <w:rsid w:val="00B87AAA"/>
    <w:rsid w:val="00B87C8C"/>
    <w:rsid w:val="00B90069"/>
    <w:rsid w:val="00B9029E"/>
    <w:rsid w:val="00B90584"/>
    <w:rsid w:val="00B905FF"/>
    <w:rsid w:val="00B907E7"/>
    <w:rsid w:val="00B908A1"/>
    <w:rsid w:val="00B90D5A"/>
    <w:rsid w:val="00B90F9E"/>
    <w:rsid w:val="00B91249"/>
    <w:rsid w:val="00B91897"/>
    <w:rsid w:val="00B91F6C"/>
    <w:rsid w:val="00B9210C"/>
    <w:rsid w:val="00B92684"/>
    <w:rsid w:val="00B92B0D"/>
    <w:rsid w:val="00B92D4F"/>
    <w:rsid w:val="00B93262"/>
    <w:rsid w:val="00B936B7"/>
    <w:rsid w:val="00B93732"/>
    <w:rsid w:val="00B93848"/>
    <w:rsid w:val="00B93F54"/>
    <w:rsid w:val="00B94565"/>
    <w:rsid w:val="00B94B07"/>
    <w:rsid w:val="00B94E5A"/>
    <w:rsid w:val="00B954D1"/>
    <w:rsid w:val="00B954D5"/>
    <w:rsid w:val="00B956DE"/>
    <w:rsid w:val="00B961E8"/>
    <w:rsid w:val="00B96520"/>
    <w:rsid w:val="00B9662C"/>
    <w:rsid w:val="00B968CF"/>
    <w:rsid w:val="00B971EE"/>
    <w:rsid w:val="00B973E6"/>
    <w:rsid w:val="00B97854"/>
    <w:rsid w:val="00B97992"/>
    <w:rsid w:val="00B97F01"/>
    <w:rsid w:val="00B97F34"/>
    <w:rsid w:val="00BA003E"/>
    <w:rsid w:val="00BA02E0"/>
    <w:rsid w:val="00BA0343"/>
    <w:rsid w:val="00BA0551"/>
    <w:rsid w:val="00BA0800"/>
    <w:rsid w:val="00BA0983"/>
    <w:rsid w:val="00BA0A1D"/>
    <w:rsid w:val="00BA0AF7"/>
    <w:rsid w:val="00BA0CB5"/>
    <w:rsid w:val="00BA1109"/>
    <w:rsid w:val="00BA13A0"/>
    <w:rsid w:val="00BA1740"/>
    <w:rsid w:val="00BA1B67"/>
    <w:rsid w:val="00BA1C35"/>
    <w:rsid w:val="00BA2156"/>
    <w:rsid w:val="00BA234F"/>
    <w:rsid w:val="00BA2408"/>
    <w:rsid w:val="00BA2625"/>
    <w:rsid w:val="00BA29FF"/>
    <w:rsid w:val="00BA3071"/>
    <w:rsid w:val="00BA323F"/>
    <w:rsid w:val="00BA3432"/>
    <w:rsid w:val="00BA3690"/>
    <w:rsid w:val="00BA38CA"/>
    <w:rsid w:val="00BA3D63"/>
    <w:rsid w:val="00BA3F11"/>
    <w:rsid w:val="00BA48A8"/>
    <w:rsid w:val="00BA51E4"/>
    <w:rsid w:val="00BA559C"/>
    <w:rsid w:val="00BA5C1E"/>
    <w:rsid w:val="00BA5F54"/>
    <w:rsid w:val="00BA6423"/>
    <w:rsid w:val="00BA6B58"/>
    <w:rsid w:val="00BA6BCD"/>
    <w:rsid w:val="00BA6CD3"/>
    <w:rsid w:val="00BA77C7"/>
    <w:rsid w:val="00BA7CD9"/>
    <w:rsid w:val="00BA7D5F"/>
    <w:rsid w:val="00BA7D7F"/>
    <w:rsid w:val="00BA7DBD"/>
    <w:rsid w:val="00BA7F84"/>
    <w:rsid w:val="00BB01CD"/>
    <w:rsid w:val="00BB0492"/>
    <w:rsid w:val="00BB076B"/>
    <w:rsid w:val="00BB0D69"/>
    <w:rsid w:val="00BB1159"/>
    <w:rsid w:val="00BB132E"/>
    <w:rsid w:val="00BB1387"/>
    <w:rsid w:val="00BB13BA"/>
    <w:rsid w:val="00BB1468"/>
    <w:rsid w:val="00BB1676"/>
    <w:rsid w:val="00BB18EC"/>
    <w:rsid w:val="00BB1B4C"/>
    <w:rsid w:val="00BB1EF6"/>
    <w:rsid w:val="00BB1F36"/>
    <w:rsid w:val="00BB288E"/>
    <w:rsid w:val="00BB2BA9"/>
    <w:rsid w:val="00BB309D"/>
    <w:rsid w:val="00BB30AE"/>
    <w:rsid w:val="00BB34FC"/>
    <w:rsid w:val="00BB359E"/>
    <w:rsid w:val="00BB3F97"/>
    <w:rsid w:val="00BB4449"/>
    <w:rsid w:val="00BB4FE0"/>
    <w:rsid w:val="00BB5204"/>
    <w:rsid w:val="00BB54FA"/>
    <w:rsid w:val="00BB5766"/>
    <w:rsid w:val="00BB580A"/>
    <w:rsid w:val="00BB6236"/>
    <w:rsid w:val="00BB6549"/>
    <w:rsid w:val="00BB6716"/>
    <w:rsid w:val="00BB68FE"/>
    <w:rsid w:val="00BB6AE3"/>
    <w:rsid w:val="00BB6C2F"/>
    <w:rsid w:val="00BB6F76"/>
    <w:rsid w:val="00BB715E"/>
    <w:rsid w:val="00BB7434"/>
    <w:rsid w:val="00BB79F2"/>
    <w:rsid w:val="00BB7A93"/>
    <w:rsid w:val="00BB7DB0"/>
    <w:rsid w:val="00BB7F92"/>
    <w:rsid w:val="00BC0643"/>
    <w:rsid w:val="00BC0659"/>
    <w:rsid w:val="00BC0711"/>
    <w:rsid w:val="00BC0ADC"/>
    <w:rsid w:val="00BC0B1E"/>
    <w:rsid w:val="00BC1029"/>
    <w:rsid w:val="00BC1340"/>
    <w:rsid w:val="00BC1962"/>
    <w:rsid w:val="00BC1AD3"/>
    <w:rsid w:val="00BC1F85"/>
    <w:rsid w:val="00BC22E4"/>
    <w:rsid w:val="00BC23A8"/>
    <w:rsid w:val="00BC2492"/>
    <w:rsid w:val="00BC2840"/>
    <w:rsid w:val="00BC2FF8"/>
    <w:rsid w:val="00BC30E5"/>
    <w:rsid w:val="00BC313A"/>
    <w:rsid w:val="00BC3369"/>
    <w:rsid w:val="00BC39DB"/>
    <w:rsid w:val="00BC3BFF"/>
    <w:rsid w:val="00BC3EB7"/>
    <w:rsid w:val="00BC3F1E"/>
    <w:rsid w:val="00BC4D34"/>
    <w:rsid w:val="00BC4DF9"/>
    <w:rsid w:val="00BC53B8"/>
    <w:rsid w:val="00BC5541"/>
    <w:rsid w:val="00BC5702"/>
    <w:rsid w:val="00BC571B"/>
    <w:rsid w:val="00BC5B98"/>
    <w:rsid w:val="00BC5BE6"/>
    <w:rsid w:val="00BC603C"/>
    <w:rsid w:val="00BC603E"/>
    <w:rsid w:val="00BC63DD"/>
    <w:rsid w:val="00BC6487"/>
    <w:rsid w:val="00BC65CA"/>
    <w:rsid w:val="00BC68B6"/>
    <w:rsid w:val="00BC6D93"/>
    <w:rsid w:val="00BC7D1A"/>
    <w:rsid w:val="00BC7D8D"/>
    <w:rsid w:val="00BC7ED0"/>
    <w:rsid w:val="00BC7F45"/>
    <w:rsid w:val="00BD0585"/>
    <w:rsid w:val="00BD07C1"/>
    <w:rsid w:val="00BD0887"/>
    <w:rsid w:val="00BD08ED"/>
    <w:rsid w:val="00BD0A15"/>
    <w:rsid w:val="00BD0D1C"/>
    <w:rsid w:val="00BD1379"/>
    <w:rsid w:val="00BD1CC0"/>
    <w:rsid w:val="00BD1D4D"/>
    <w:rsid w:val="00BD2266"/>
    <w:rsid w:val="00BD232E"/>
    <w:rsid w:val="00BD237E"/>
    <w:rsid w:val="00BD2618"/>
    <w:rsid w:val="00BD287E"/>
    <w:rsid w:val="00BD2B04"/>
    <w:rsid w:val="00BD2D6A"/>
    <w:rsid w:val="00BD35ED"/>
    <w:rsid w:val="00BD3605"/>
    <w:rsid w:val="00BD3620"/>
    <w:rsid w:val="00BD3FC9"/>
    <w:rsid w:val="00BD435C"/>
    <w:rsid w:val="00BD4727"/>
    <w:rsid w:val="00BD4ADC"/>
    <w:rsid w:val="00BD4FA5"/>
    <w:rsid w:val="00BD5C44"/>
    <w:rsid w:val="00BD6315"/>
    <w:rsid w:val="00BD6502"/>
    <w:rsid w:val="00BD694B"/>
    <w:rsid w:val="00BD69C8"/>
    <w:rsid w:val="00BD6CA4"/>
    <w:rsid w:val="00BD6D9D"/>
    <w:rsid w:val="00BD7BDE"/>
    <w:rsid w:val="00BD7F37"/>
    <w:rsid w:val="00BE002C"/>
    <w:rsid w:val="00BE028B"/>
    <w:rsid w:val="00BE03A3"/>
    <w:rsid w:val="00BE03ED"/>
    <w:rsid w:val="00BE0768"/>
    <w:rsid w:val="00BE1490"/>
    <w:rsid w:val="00BE1794"/>
    <w:rsid w:val="00BE17DC"/>
    <w:rsid w:val="00BE226D"/>
    <w:rsid w:val="00BE24D2"/>
    <w:rsid w:val="00BE29A5"/>
    <w:rsid w:val="00BE31C8"/>
    <w:rsid w:val="00BE3517"/>
    <w:rsid w:val="00BE38BB"/>
    <w:rsid w:val="00BE3ED0"/>
    <w:rsid w:val="00BE3F1E"/>
    <w:rsid w:val="00BE3F8E"/>
    <w:rsid w:val="00BE4805"/>
    <w:rsid w:val="00BE4830"/>
    <w:rsid w:val="00BE48DE"/>
    <w:rsid w:val="00BE4F27"/>
    <w:rsid w:val="00BE5845"/>
    <w:rsid w:val="00BE5AC6"/>
    <w:rsid w:val="00BE5AFD"/>
    <w:rsid w:val="00BE5D4B"/>
    <w:rsid w:val="00BE618A"/>
    <w:rsid w:val="00BE6500"/>
    <w:rsid w:val="00BE6711"/>
    <w:rsid w:val="00BE6A82"/>
    <w:rsid w:val="00BE6E19"/>
    <w:rsid w:val="00BE712A"/>
    <w:rsid w:val="00BE719D"/>
    <w:rsid w:val="00BE7204"/>
    <w:rsid w:val="00BE72D5"/>
    <w:rsid w:val="00BE752F"/>
    <w:rsid w:val="00BE75F4"/>
    <w:rsid w:val="00BE77A2"/>
    <w:rsid w:val="00BE7818"/>
    <w:rsid w:val="00BF00C8"/>
    <w:rsid w:val="00BF02B8"/>
    <w:rsid w:val="00BF0358"/>
    <w:rsid w:val="00BF046E"/>
    <w:rsid w:val="00BF0804"/>
    <w:rsid w:val="00BF0962"/>
    <w:rsid w:val="00BF1ACD"/>
    <w:rsid w:val="00BF2075"/>
    <w:rsid w:val="00BF2279"/>
    <w:rsid w:val="00BF231E"/>
    <w:rsid w:val="00BF239B"/>
    <w:rsid w:val="00BF2601"/>
    <w:rsid w:val="00BF2937"/>
    <w:rsid w:val="00BF3096"/>
    <w:rsid w:val="00BF379A"/>
    <w:rsid w:val="00BF3904"/>
    <w:rsid w:val="00BF3E12"/>
    <w:rsid w:val="00BF3F60"/>
    <w:rsid w:val="00BF41DB"/>
    <w:rsid w:val="00BF4408"/>
    <w:rsid w:val="00BF470A"/>
    <w:rsid w:val="00BF4720"/>
    <w:rsid w:val="00BF4AE0"/>
    <w:rsid w:val="00BF4BAB"/>
    <w:rsid w:val="00BF4D69"/>
    <w:rsid w:val="00BF4DFF"/>
    <w:rsid w:val="00BF4E9F"/>
    <w:rsid w:val="00BF4F3A"/>
    <w:rsid w:val="00BF546D"/>
    <w:rsid w:val="00BF57A5"/>
    <w:rsid w:val="00BF5F2A"/>
    <w:rsid w:val="00BF6147"/>
    <w:rsid w:val="00BF61B9"/>
    <w:rsid w:val="00BF6306"/>
    <w:rsid w:val="00BF661D"/>
    <w:rsid w:val="00BF6773"/>
    <w:rsid w:val="00BF6A04"/>
    <w:rsid w:val="00BF6BCB"/>
    <w:rsid w:val="00BF7415"/>
    <w:rsid w:val="00BF781B"/>
    <w:rsid w:val="00BF796B"/>
    <w:rsid w:val="00BF7C25"/>
    <w:rsid w:val="00C001BC"/>
    <w:rsid w:val="00C001DF"/>
    <w:rsid w:val="00C0033C"/>
    <w:rsid w:val="00C003C5"/>
    <w:rsid w:val="00C00513"/>
    <w:rsid w:val="00C0054A"/>
    <w:rsid w:val="00C0061F"/>
    <w:rsid w:val="00C009FC"/>
    <w:rsid w:val="00C00BBF"/>
    <w:rsid w:val="00C00C5B"/>
    <w:rsid w:val="00C01201"/>
    <w:rsid w:val="00C01337"/>
    <w:rsid w:val="00C015D5"/>
    <w:rsid w:val="00C01649"/>
    <w:rsid w:val="00C017DB"/>
    <w:rsid w:val="00C01B01"/>
    <w:rsid w:val="00C01F29"/>
    <w:rsid w:val="00C0208C"/>
    <w:rsid w:val="00C02A49"/>
    <w:rsid w:val="00C02BFF"/>
    <w:rsid w:val="00C02D05"/>
    <w:rsid w:val="00C034E6"/>
    <w:rsid w:val="00C035E3"/>
    <w:rsid w:val="00C036CC"/>
    <w:rsid w:val="00C0372C"/>
    <w:rsid w:val="00C037A3"/>
    <w:rsid w:val="00C03C31"/>
    <w:rsid w:val="00C03CDF"/>
    <w:rsid w:val="00C04356"/>
    <w:rsid w:val="00C04656"/>
    <w:rsid w:val="00C04886"/>
    <w:rsid w:val="00C0491A"/>
    <w:rsid w:val="00C0506E"/>
    <w:rsid w:val="00C0508F"/>
    <w:rsid w:val="00C05368"/>
    <w:rsid w:val="00C0551B"/>
    <w:rsid w:val="00C05765"/>
    <w:rsid w:val="00C057FE"/>
    <w:rsid w:val="00C058C7"/>
    <w:rsid w:val="00C05944"/>
    <w:rsid w:val="00C05EEB"/>
    <w:rsid w:val="00C06261"/>
    <w:rsid w:val="00C06ABA"/>
    <w:rsid w:val="00C06C53"/>
    <w:rsid w:val="00C06CB1"/>
    <w:rsid w:val="00C07106"/>
    <w:rsid w:val="00C07155"/>
    <w:rsid w:val="00C071E7"/>
    <w:rsid w:val="00C076CE"/>
    <w:rsid w:val="00C078AF"/>
    <w:rsid w:val="00C1009A"/>
    <w:rsid w:val="00C10574"/>
    <w:rsid w:val="00C1068E"/>
    <w:rsid w:val="00C10698"/>
    <w:rsid w:val="00C11097"/>
    <w:rsid w:val="00C11610"/>
    <w:rsid w:val="00C11A38"/>
    <w:rsid w:val="00C12852"/>
    <w:rsid w:val="00C12CF2"/>
    <w:rsid w:val="00C13410"/>
    <w:rsid w:val="00C13414"/>
    <w:rsid w:val="00C13603"/>
    <w:rsid w:val="00C13822"/>
    <w:rsid w:val="00C13DA5"/>
    <w:rsid w:val="00C14040"/>
    <w:rsid w:val="00C141BD"/>
    <w:rsid w:val="00C145E6"/>
    <w:rsid w:val="00C1465A"/>
    <w:rsid w:val="00C150E3"/>
    <w:rsid w:val="00C15129"/>
    <w:rsid w:val="00C15687"/>
    <w:rsid w:val="00C15D0C"/>
    <w:rsid w:val="00C15D9C"/>
    <w:rsid w:val="00C15E9F"/>
    <w:rsid w:val="00C15F23"/>
    <w:rsid w:val="00C16258"/>
    <w:rsid w:val="00C16B24"/>
    <w:rsid w:val="00C16C1E"/>
    <w:rsid w:val="00C16E3E"/>
    <w:rsid w:val="00C16F6B"/>
    <w:rsid w:val="00C17360"/>
    <w:rsid w:val="00C17B45"/>
    <w:rsid w:val="00C17BBA"/>
    <w:rsid w:val="00C17CCC"/>
    <w:rsid w:val="00C17D49"/>
    <w:rsid w:val="00C203A9"/>
    <w:rsid w:val="00C20CB1"/>
    <w:rsid w:val="00C20DB8"/>
    <w:rsid w:val="00C20F6B"/>
    <w:rsid w:val="00C2127E"/>
    <w:rsid w:val="00C213E6"/>
    <w:rsid w:val="00C21723"/>
    <w:rsid w:val="00C2187B"/>
    <w:rsid w:val="00C21D18"/>
    <w:rsid w:val="00C21EAD"/>
    <w:rsid w:val="00C2227E"/>
    <w:rsid w:val="00C222E7"/>
    <w:rsid w:val="00C22698"/>
    <w:rsid w:val="00C22AFF"/>
    <w:rsid w:val="00C22EB7"/>
    <w:rsid w:val="00C234BB"/>
    <w:rsid w:val="00C2374A"/>
    <w:rsid w:val="00C2380D"/>
    <w:rsid w:val="00C239BC"/>
    <w:rsid w:val="00C239CA"/>
    <w:rsid w:val="00C23BFB"/>
    <w:rsid w:val="00C23EFB"/>
    <w:rsid w:val="00C2424F"/>
    <w:rsid w:val="00C24E18"/>
    <w:rsid w:val="00C24EE9"/>
    <w:rsid w:val="00C25046"/>
    <w:rsid w:val="00C25192"/>
    <w:rsid w:val="00C253D1"/>
    <w:rsid w:val="00C257F8"/>
    <w:rsid w:val="00C263CF"/>
    <w:rsid w:val="00C270BC"/>
    <w:rsid w:val="00C2742E"/>
    <w:rsid w:val="00C27B37"/>
    <w:rsid w:val="00C27E79"/>
    <w:rsid w:val="00C27EF3"/>
    <w:rsid w:val="00C30389"/>
    <w:rsid w:val="00C30871"/>
    <w:rsid w:val="00C30A03"/>
    <w:rsid w:val="00C30FA7"/>
    <w:rsid w:val="00C3142E"/>
    <w:rsid w:val="00C3190E"/>
    <w:rsid w:val="00C31B6D"/>
    <w:rsid w:val="00C31C3D"/>
    <w:rsid w:val="00C31C54"/>
    <w:rsid w:val="00C31D2E"/>
    <w:rsid w:val="00C31E37"/>
    <w:rsid w:val="00C32401"/>
    <w:rsid w:val="00C32426"/>
    <w:rsid w:val="00C32A80"/>
    <w:rsid w:val="00C32C73"/>
    <w:rsid w:val="00C32E45"/>
    <w:rsid w:val="00C33150"/>
    <w:rsid w:val="00C3326A"/>
    <w:rsid w:val="00C33393"/>
    <w:rsid w:val="00C333F7"/>
    <w:rsid w:val="00C338A3"/>
    <w:rsid w:val="00C33A5D"/>
    <w:rsid w:val="00C33C93"/>
    <w:rsid w:val="00C34387"/>
    <w:rsid w:val="00C34668"/>
    <w:rsid w:val="00C34930"/>
    <w:rsid w:val="00C34B38"/>
    <w:rsid w:val="00C34C97"/>
    <w:rsid w:val="00C34E9F"/>
    <w:rsid w:val="00C34F63"/>
    <w:rsid w:val="00C354CF"/>
    <w:rsid w:val="00C3572C"/>
    <w:rsid w:val="00C35CFB"/>
    <w:rsid w:val="00C36155"/>
    <w:rsid w:val="00C36254"/>
    <w:rsid w:val="00C363A6"/>
    <w:rsid w:val="00C3670E"/>
    <w:rsid w:val="00C36712"/>
    <w:rsid w:val="00C36EAA"/>
    <w:rsid w:val="00C37882"/>
    <w:rsid w:val="00C37EBE"/>
    <w:rsid w:val="00C40068"/>
    <w:rsid w:val="00C4009C"/>
    <w:rsid w:val="00C40473"/>
    <w:rsid w:val="00C4087E"/>
    <w:rsid w:val="00C40941"/>
    <w:rsid w:val="00C40CA3"/>
    <w:rsid w:val="00C40D13"/>
    <w:rsid w:val="00C41171"/>
    <w:rsid w:val="00C416F6"/>
    <w:rsid w:val="00C4172E"/>
    <w:rsid w:val="00C41E87"/>
    <w:rsid w:val="00C423D9"/>
    <w:rsid w:val="00C42622"/>
    <w:rsid w:val="00C42D2C"/>
    <w:rsid w:val="00C42F44"/>
    <w:rsid w:val="00C4345E"/>
    <w:rsid w:val="00C4382F"/>
    <w:rsid w:val="00C43BAB"/>
    <w:rsid w:val="00C43FD5"/>
    <w:rsid w:val="00C446C3"/>
    <w:rsid w:val="00C4472F"/>
    <w:rsid w:val="00C44A3D"/>
    <w:rsid w:val="00C44B52"/>
    <w:rsid w:val="00C450DE"/>
    <w:rsid w:val="00C452DA"/>
    <w:rsid w:val="00C45941"/>
    <w:rsid w:val="00C45CEB"/>
    <w:rsid w:val="00C45EFB"/>
    <w:rsid w:val="00C46057"/>
    <w:rsid w:val="00C46233"/>
    <w:rsid w:val="00C466F6"/>
    <w:rsid w:val="00C46979"/>
    <w:rsid w:val="00C4717C"/>
    <w:rsid w:val="00C47374"/>
    <w:rsid w:val="00C474CB"/>
    <w:rsid w:val="00C478CB"/>
    <w:rsid w:val="00C47C77"/>
    <w:rsid w:val="00C47EA8"/>
    <w:rsid w:val="00C50275"/>
    <w:rsid w:val="00C503A4"/>
    <w:rsid w:val="00C504D8"/>
    <w:rsid w:val="00C50A4A"/>
    <w:rsid w:val="00C50A4F"/>
    <w:rsid w:val="00C50BDD"/>
    <w:rsid w:val="00C50C3E"/>
    <w:rsid w:val="00C50DA5"/>
    <w:rsid w:val="00C5158E"/>
    <w:rsid w:val="00C517B1"/>
    <w:rsid w:val="00C51881"/>
    <w:rsid w:val="00C51E35"/>
    <w:rsid w:val="00C5208F"/>
    <w:rsid w:val="00C5275E"/>
    <w:rsid w:val="00C5287D"/>
    <w:rsid w:val="00C528C8"/>
    <w:rsid w:val="00C5301E"/>
    <w:rsid w:val="00C5327C"/>
    <w:rsid w:val="00C537C8"/>
    <w:rsid w:val="00C53D03"/>
    <w:rsid w:val="00C54287"/>
    <w:rsid w:val="00C543BF"/>
    <w:rsid w:val="00C5448B"/>
    <w:rsid w:val="00C544B3"/>
    <w:rsid w:val="00C54673"/>
    <w:rsid w:val="00C54CAE"/>
    <w:rsid w:val="00C54D7A"/>
    <w:rsid w:val="00C552DD"/>
    <w:rsid w:val="00C55655"/>
    <w:rsid w:val="00C55677"/>
    <w:rsid w:val="00C55847"/>
    <w:rsid w:val="00C55890"/>
    <w:rsid w:val="00C558EC"/>
    <w:rsid w:val="00C56AF1"/>
    <w:rsid w:val="00C56DCE"/>
    <w:rsid w:val="00C56F99"/>
    <w:rsid w:val="00C57374"/>
    <w:rsid w:val="00C57649"/>
    <w:rsid w:val="00C57709"/>
    <w:rsid w:val="00C57786"/>
    <w:rsid w:val="00C579B4"/>
    <w:rsid w:val="00C57B87"/>
    <w:rsid w:val="00C604FB"/>
    <w:rsid w:val="00C612CD"/>
    <w:rsid w:val="00C614A0"/>
    <w:rsid w:val="00C61648"/>
    <w:rsid w:val="00C616F2"/>
    <w:rsid w:val="00C619B0"/>
    <w:rsid w:val="00C61A98"/>
    <w:rsid w:val="00C61EED"/>
    <w:rsid w:val="00C621D0"/>
    <w:rsid w:val="00C623C5"/>
    <w:rsid w:val="00C62CD7"/>
    <w:rsid w:val="00C62DE5"/>
    <w:rsid w:val="00C6322A"/>
    <w:rsid w:val="00C634A8"/>
    <w:rsid w:val="00C63E2A"/>
    <w:rsid w:val="00C6423D"/>
    <w:rsid w:val="00C64502"/>
    <w:rsid w:val="00C6486F"/>
    <w:rsid w:val="00C6499E"/>
    <w:rsid w:val="00C64DD2"/>
    <w:rsid w:val="00C64E10"/>
    <w:rsid w:val="00C652E3"/>
    <w:rsid w:val="00C65567"/>
    <w:rsid w:val="00C65B25"/>
    <w:rsid w:val="00C66023"/>
    <w:rsid w:val="00C6658B"/>
    <w:rsid w:val="00C666C8"/>
    <w:rsid w:val="00C66E60"/>
    <w:rsid w:val="00C673CF"/>
    <w:rsid w:val="00C67808"/>
    <w:rsid w:val="00C67F32"/>
    <w:rsid w:val="00C702E6"/>
    <w:rsid w:val="00C70482"/>
    <w:rsid w:val="00C7060F"/>
    <w:rsid w:val="00C70BED"/>
    <w:rsid w:val="00C70F94"/>
    <w:rsid w:val="00C7184B"/>
    <w:rsid w:val="00C7254C"/>
    <w:rsid w:val="00C72900"/>
    <w:rsid w:val="00C72954"/>
    <w:rsid w:val="00C72FEE"/>
    <w:rsid w:val="00C7307E"/>
    <w:rsid w:val="00C73947"/>
    <w:rsid w:val="00C7472A"/>
    <w:rsid w:val="00C750FD"/>
    <w:rsid w:val="00C753EE"/>
    <w:rsid w:val="00C7543C"/>
    <w:rsid w:val="00C75654"/>
    <w:rsid w:val="00C75814"/>
    <w:rsid w:val="00C75D36"/>
    <w:rsid w:val="00C75F51"/>
    <w:rsid w:val="00C766B5"/>
    <w:rsid w:val="00C76BE1"/>
    <w:rsid w:val="00C77177"/>
    <w:rsid w:val="00C774E1"/>
    <w:rsid w:val="00C774E8"/>
    <w:rsid w:val="00C77507"/>
    <w:rsid w:val="00C7780A"/>
    <w:rsid w:val="00C77911"/>
    <w:rsid w:val="00C77BC1"/>
    <w:rsid w:val="00C80661"/>
    <w:rsid w:val="00C80BF7"/>
    <w:rsid w:val="00C8114D"/>
    <w:rsid w:val="00C815B9"/>
    <w:rsid w:val="00C8283E"/>
    <w:rsid w:val="00C828E8"/>
    <w:rsid w:val="00C82AFD"/>
    <w:rsid w:val="00C82D82"/>
    <w:rsid w:val="00C831E5"/>
    <w:rsid w:val="00C8326B"/>
    <w:rsid w:val="00C83282"/>
    <w:rsid w:val="00C83288"/>
    <w:rsid w:val="00C835BD"/>
    <w:rsid w:val="00C83695"/>
    <w:rsid w:val="00C83761"/>
    <w:rsid w:val="00C837CD"/>
    <w:rsid w:val="00C83EED"/>
    <w:rsid w:val="00C84254"/>
    <w:rsid w:val="00C842BF"/>
    <w:rsid w:val="00C846F6"/>
    <w:rsid w:val="00C84DB0"/>
    <w:rsid w:val="00C84F21"/>
    <w:rsid w:val="00C84F41"/>
    <w:rsid w:val="00C84F9C"/>
    <w:rsid w:val="00C851DF"/>
    <w:rsid w:val="00C853BA"/>
    <w:rsid w:val="00C85B4A"/>
    <w:rsid w:val="00C85CEF"/>
    <w:rsid w:val="00C866B8"/>
    <w:rsid w:val="00C8683F"/>
    <w:rsid w:val="00C86A0C"/>
    <w:rsid w:val="00C87750"/>
    <w:rsid w:val="00C87789"/>
    <w:rsid w:val="00C87BCA"/>
    <w:rsid w:val="00C87CD4"/>
    <w:rsid w:val="00C9008E"/>
    <w:rsid w:val="00C9018F"/>
    <w:rsid w:val="00C901A1"/>
    <w:rsid w:val="00C907A7"/>
    <w:rsid w:val="00C90DC4"/>
    <w:rsid w:val="00C91341"/>
    <w:rsid w:val="00C91348"/>
    <w:rsid w:val="00C91509"/>
    <w:rsid w:val="00C916AA"/>
    <w:rsid w:val="00C916CC"/>
    <w:rsid w:val="00C917C0"/>
    <w:rsid w:val="00C9197E"/>
    <w:rsid w:val="00C9198F"/>
    <w:rsid w:val="00C921E1"/>
    <w:rsid w:val="00C92641"/>
    <w:rsid w:val="00C927CF"/>
    <w:rsid w:val="00C927FE"/>
    <w:rsid w:val="00C92BAF"/>
    <w:rsid w:val="00C9301D"/>
    <w:rsid w:val="00C930F5"/>
    <w:rsid w:val="00C9329B"/>
    <w:rsid w:val="00C947E8"/>
    <w:rsid w:val="00C94A89"/>
    <w:rsid w:val="00C94E44"/>
    <w:rsid w:val="00C94E7F"/>
    <w:rsid w:val="00C95120"/>
    <w:rsid w:val="00C9570E"/>
    <w:rsid w:val="00C95AC3"/>
    <w:rsid w:val="00C95F92"/>
    <w:rsid w:val="00C96E84"/>
    <w:rsid w:val="00C96EE6"/>
    <w:rsid w:val="00C97303"/>
    <w:rsid w:val="00C9740A"/>
    <w:rsid w:val="00C97465"/>
    <w:rsid w:val="00C97833"/>
    <w:rsid w:val="00C97D49"/>
    <w:rsid w:val="00C97FEC"/>
    <w:rsid w:val="00CA0650"/>
    <w:rsid w:val="00CA0F4C"/>
    <w:rsid w:val="00CA1308"/>
    <w:rsid w:val="00CA1366"/>
    <w:rsid w:val="00CA13D7"/>
    <w:rsid w:val="00CA16CD"/>
    <w:rsid w:val="00CA259C"/>
    <w:rsid w:val="00CA2634"/>
    <w:rsid w:val="00CA3707"/>
    <w:rsid w:val="00CA3A58"/>
    <w:rsid w:val="00CA413A"/>
    <w:rsid w:val="00CA43F3"/>
    <w:rsid w:val="00CA443F"/>
    <w:rsid w:val="00CA464D"/>
    <w:rsid w:val="00CA4D7B"/>
    <w:rsid w:val="00CA5445"/>
    <w:rsid w:val="00CA5590"/>
    <w:rsid w:val="00CA55D7"/>
    <w:rsid w:val="00CA566B"/>
    <w:rsid w:val="00CA5E5E"/>
    <w:rsid w:val="00CA671B"/>
    <w:rsid w:val="00CA6E8C"/>
    <w:rsid w:val="00CA707C"/>
    <w:rsid w:val="00CA7122"/>
    <w:rsid w:val="00CA72EC"/>
    <w:rsid w:val="00CA7311"/>
    <w:rsid w:val="00CA7335"/>
    <w:rsid w:val="00CA7467"/>
    <w:rsid w:val="00CA79C2"/>
    <w:rsid w:val="00CA7A67"/>
    <w:rsid w:val="00CB0057"/>
    <w:rsid w:val="00CB016B"/>
    <w:rsid w:val="00CB0202"/>
    <w:rsid w:val="00CB09D9"/>
    <w:rsid w:val="00CB0AC3"/>
    <w:rsid w:val="00CB0EC3"/>
    <w:rsid w:val="00CB1162"/>
    <w:rsid w:val="00CB164A"/>
    <w:rsid w:val="00CB2352"/>
    <w:rsid w:val="00CB2E72"/>
    <w:rsid w:val="00CB3D93"/>
    <w:rsid w:val="00CB442B"/>
    <w:rsid w:val="00CB4963"/>
    <w:rsid w:val="00CB4A51"/>
    <w:rsid w:val="00CB4E56"/>
    <w:rsid w:val="00CB4ED8"/>
    <w:rsid w:val="00CB5326"/>
    <w:rsid w:val="00CB565B"/>
    <w:rsid w:val="00CB5C9C"/>
    <w:rsid w:val="00CB65C2"/>
    <w:rsid w:val="00CB67E7"/>
    <w:rsid w:val="00CB6BB0"/>
    <w:rsid w:val="00CB770A"/>
    <w:rsid w:val="00CB7910"/>
    <w:rsid w:val="00CB7F3B"/>
    <w:rsid w:val="00CC127E"/>
    <w:rsid w:val="00CC265B"/>
    <w:rsid w:val="00CC2C02"/>
    <w:rsid w:val="00CC2F8D"/>
    <w:rsid w:val="00CC3B88"/>
    <w:rsid w:val="00CC3CDF"/>
    <w:rsid w:val="00CC3CED"/>
    <w:rsid w:val="00CC4153"/>
    <w:rsid w:val="00CC4157"/>
    <w:rsid w:val="00CC4DAC"/>
    <w:rsid w:val="00CC549B"/>
    <w:rsid w:val="00CC56EA"/>
    <w:rsid w:val="00CC5CF6"/>
    <w:rsid w:val="00CC5DAF"/>
    <w:rsid w:val="00CC6090"/>
    <w:rsid w:val="00CC6213"/>
    <w:rsid w:val="00CC62F3"/>
    <w:rsid w:val="00CC632A"/>
    <w:rsid w:val="00CC6356"/>
    <w:rsid w:val="00CC65D4"/>
    <w:rsid w:val="00CC6919"/>
    <w:rsid w:val="00CC693A"/>
    <w:rsid w:val="00CC6AB4"/>
    <w:rsid w:val="00CC7458"/>
    <w:rsid w:val="00CC75C8"/>
    <w:rsid w:val="00CC7BCB"/>
    <w:rsid w:val="00CC7E14"/>
    <w:rsid w:val="00CD03EC"/>
    <w:rsid w:val="00CD05C9"/>
    <w:rsid w:val="00CD07B2"/>
    <w:rsid w:val="00CD09B4"/>
    <w:rsid w:val="00CD0F86"/>
    <w:rsid w:val="00CD1579"/>
    <w:rsid w:val="00CD1614"/>
    <w:rsid w:val="00CD1767"/>
    <w:rsid w:val="00CD1A8C"/>
    <w:rsid w:val="00CD1CC8"/>
    <w:rsid w:val="00CD1D29"/>
    <w:rsid w:val="00CD240D"/>
    <w:rsid w:val="00CD2B4D"/>
    <w:rsid w:val="00CD2CC9"/>
    <w:rsid w:val="00CD3689"/>
    <w:rsid w:val="00CD3740"/>
    <w:rsid w:val="00CD3BAE"/>
    <w:rsid w:val="00CD4219"/>
    <w:rsid w:val="00CD4371"/>
    <w:rsid w:val="00CD4780"/>
    <w:rsid w:val="00CD4E3A"/>
    <w:rsid w:val="00CD51E5"/>
    <w:rsid w:val="00CD52B2"/>
    <w:rsid w:val="00CD5600"/>
    <w:rsid w:val="00CD575B"/>
    <w:rsid w:val="00CD5E83"/>
    <w:rsid w:val="00CD6004"/>
    <w:rsid w:val="00CD6465"/>
    <w:rsid w:val="00CD686B"/>
    <w:rsid w:val="00CD6E75"/>
    <w:rsid w:val="00CD6ED4"/>
    <w:rsid w:val="00CD70A4"/>
    <w:rsid w:val="00CD70AD"/>
    <w:rsid w:val="00CD795B"/>
    <w:rsid w:val="00CD7C57"/>
    <w:rsid w:val="00CD7E65"/>
    <w:rsid w:val="00CE0681"/>
    <w:rsid w:val="00CE0AF1"/>
    <w:rsid w:val="00CE0C9C"/>
    <w:rsid w:val="00CE0F33"/>
    <w:rsid w:val="00CE1315"/>
    <w:rsid w:val="00CE1644"/>
    <w:rsid w:val="00CE1DE1"/>
    <w:rsid w:val="00CE1E39"/>
    <w:rsid w:val="00CE1E73"/>
    <w:rsid w:val="00CE2293"/>
    <w:rsid w:val="00CE252B"/>
    <w:rsid w:val="00CE27F2"/>
    <w:rsid w:val="00CE2A05"/>
    <w:rsid w:val="00CE2A3A"/>
    <w:rsid w:val="00CE2B0E"/>
    <w:rsid w:val="00CE2DB4"/>
    <w:rsid w:val="00CE2ECA"/>
    <w:rsid w:val="00CE3175"/>
    <w:rsid w:val="00CE363A"/>
    <w:rsid w:val="00CE3C62"/>
    <w:rsid w:val="00CE4141"/>
    <w:rsid w:val="00CE4575"/>
    <w:rsid w:val="00CE4F47"/>
    <w:rsid w:val="00CE52E2"/>
    <w:rsid w:val="00CE5DE1"/>
    <w:rsid w:val="00CE5EDE"/>
    <w:rsid w:val="00CE600B"/>
    <w:rsid w:val="00CE608B"/>
    <w:rsid w:val="00CE60AC"/>
    <w:rsid w:val="00CE643B"/>
    <w:rsid w:val="00CE655E"/>
    <w:rsid w:val="00CE6938"/>
    <w:rsid w:val="00CE6C72"/>
    <w:rsid w:val="00CE6C9A"/>
    <w:rsid w:val="00CE6ED1"/>
    <w:rsid w:val="00CE7149"/>
    <w:rsid w:val="00CE7212"/>
    <w:rsid w:val="00CE72E3"/>
    <w:rsid w:val="00CE77C8"/>
    <w:rsid w:val="00CE7893"/>
    <w:rsid w:val="00CE79F8"/>
    <w:rsid w:val="00CE7F4C"/>
    <w:rsid w:val="00CF0A8A"/>
    <w:rsid w:val="00CF0DE3"/>
    <w:rsid w:val="00CF0FDC"/>
    <w:rsid w:val="00CF1789"/>
    <w:rsid w:val="00CF193F"/>
    <w:rsid w:val="00CF1D3F"/>
    <w:rsid w:val="00CF220A"/>
    <w:rsid w:val="00CF2272"/>
    <w:rsid w:val="00CF2698"/>
    <w:rsid w:val="00CF29C9"/>
    <w:rsid w:val="00CF2DB3"/>
    <w:rsid w:val="00CF2F16"/>
    <w:rsid w:val="00CF31FB"/>
    <w:rsid w:val="00CF31FE"/>
    <w:rsid w:val="00CF3442"/>
    <w:rsid w:val="00CF41A5"/>
    <w:rsid w:val="00CF41DB"/>
    <w:rsid w:val="00CF421F"/>
    <w:rsid w:val="00CF4278"/>
    <w:rsid w:val="00CF4C8B"/>
    <w:rsid w:val="00CF4DE4"/>
    <w:rsid w:val="00CF5548"/>
    <w:rsid w:val="00CF5CA0"/>
    <w:rsid w:val="00CF5F34"/>
    <w:rsid w:val="00CF63CF"/>
    <w:rsid w:val="00CF6564"/>
    <w:rsid w:val="00CF6F44"/>
    <w:rsid w:val="00CF70CA"/>
    <w:rsid w:val="00CF74E9"/>
    <w:rsid w:val="00CF7AF7"/>
    <w:rsid w:val="00CF7C6A"/>
    <w:rsid w:val="00D00660"/>
    <w:rsid w:val="00D00E74"/>
    <w:rsid w:val="00D011C5"/>
    <w:rsid w:val="00D013A7"/>
    <w:rsid w:val="00D013AE"/>
    <w:rsid w:val="00D0174D"/>
    <w:rsid w:val="00D01887"/>
    <w:rsid w:val="00D01C9B"/>
    <w:rsid w:val="00D0223D"/>
    <w:rsid w:val="00D0240C"/>
    <w:rsid w:val="00D024EE"/>
    <w:rsid w:val="00D02C21"/>
    <w:rsid w:val="00D031A5"/>
    <w:rsid w:val="00D03524"/>
    <w:rsid w:val="00D036AA"/>
    <w:rsid w:val="00D037C5"/>
    <w:rsid w:val="00D03BA2"/>
    <w:rsid w:val="00D03C04"/>
    <w:rsid w:val="00D04185"/>
    <w:rsid w:val="00D043CF"/>
    <w:rsid w:val="00D046AD"/>
    <w:rsid w:val="00D048A9"/>
    <w:rsid w:val="00D04BF4"/>
    <w:rsid w:val="00D04ED1"/>
    <w:rsid w:val="00D05A1D"/>
    <w:rsid w:val="00D05A53"/>
    <w:rsid w:val="00D05AE6"/>
    <w:rsid w:val="00D05D3D"/>
    <w:rsid w:val="00D05DDF"/>
    <w:rsid w:val="00D05F61"/>
    <w:rsid w:val="00D065BA"/>
    <w:rsid w:val="00D06A7D"/>
    <w:rsid w:val="00D07FC1"/>
    <w:rsid w:val="00D10187"/>
    <w:rsid w:val="00D105CB"/>
    <w:rsid w:val="00D10757"/>
    <w:rsid w:val="00D10807"/>
    <w:rsid w:val="00D10D87"/>
    <w:rsid w:val="00D10E4A"/>
    <w:rsid w:val="00D11897"/>
    <w:rsid w:val="00D120AA"/>
    <w:rsid w:val="00D12287"/>
    <w:rsid w:val="00D12A43"/>
    <w:rsid w:val="00D12A84"/>
    <w:rsid w:val="00D12B03"/>
    <w:rsid w:val="00D13681"/>
    <w:rsid w:val="00D13757"/>
    <w:rsid w:val="00D13CD8"/>
    <w:rsid w:val="00D1407A"/>
    <w:rsid w:val="00D140F0"/>
    <w:rsid w:val="00D142A4"/>
    <w:rsid w:val="00D14676"/>
    <w:rsid w:val="00D1492B"/>
    <w:rsid w:val="00D149E0"/>
    <w:rsid w:val="00D14C71"/>
    <w:rsid w:val="00D14E40"/>
    <w:rsid w:val="00D15592"/>
    <w:rsid w:val="00D1585C"/>
    <w:rsid w:val="00D15B43"/>
    <w:rsid w:val="00D15C93"/>
    <w:rsid w:val="00D15EC3"/>
    <w:rsid w:val="00D1605F"/>
    <w:rsid w:val="00D1658C"/>
    <w:rsid w:val="00D167A5"/>
    <w:rsid w:val="00D16BF5"/>
    <w:rsid w:val="00D16BFE"/>
    <w:rsid w:val="00D16C87"/>
    <w:rsid w:val="00D17331"/>
    <w:rsid w:val="00D174F7"/>
    <w:rsid w:val="00D1766A"/>
    <w:rsid w:val="00D17774"/>
    <w:rsid w:val="00D1792B"/>
    <w:rsid w:val="00D17E12"/>
    <w:rsid w:val="00D17F09"/>
    <w:rsid w:val="00D20372"/>
    <w:rsid w:val="00D20810"/>
    <w:rsid w:val="00D208B7"/>
    <w:rsid w:val="00D20BF8"/>
    <w:rsid w:val="00D20C05"/>
    <w:rsid w:val="00D20E66"/>
    <w:rsid w:val="00D21150"/>
    <w:rsid w:val="00D21413"/>
    <w:rsid w:val="00D21627"/>
    <w:rsid w:val="00D2163C"/>
    <w:rsid w:val="00D2178E"/>
    <w:rsid w:val="00D21982"/>
    <w:rsid w:val="00D21CDC"/>
    <w:rsid w:val="00D21CE7"/>
    <w:rsid w:val="00D21E53"/>
    <w:rsid w:val="00D229CB"/>
    <w:rsid w:val="00D22DE2"/>
    <w:rsid w:val="00D22F8B"/>
    <w:rsid w:val="00D2326E"/>
    <w:rsid w:val="00D2329A"/>
    <w:rsid w:val="00D234FB"/>
    <w:rsid w:val="00D24B48"/>
    <w:rsid w:val="00D24E8E"/>
    <w:rsid w:val="00D24EB8"/>
    <w:rsid w:val="00D2507D"/>
    <w:rsid w:val="00D2534D"/>
    <w:rsid w:val="00D25471"/>
    <w:rsid w:val="00D256A6"/>
    <w:rsid w:val="00D25B6D"/>
    <w:rsid w:val="00D25E25"/>
    <w:rsid w:val="00D25F5C"/>
    <w:rsid w:val="00D263F3"/>
    <w:rsid w:val="00D2761F"/>
    <w:rsid w:val="00D2780E"/>
    <w:rsid w:val="00D27F19"/>
    <w:rsid w:val="00D27F2A"/>
    <w:rsid w:val="00D27F5D"/>
    <w:rsid w:val="00D301EB"/>
    <w:rsid w:val="00D30352"/>
    <w:rsid w:val="00D307A2"/>
    <w:rsid w:val="00D309ED"/>
    <w:rsid w:val="00D314C1"/>
    <w:rsid w:val="00D31B5E"/>
    <w:rsid w:val="00D31FA4"/>
    <w:rsid w:val="00D31FD9"/>
    <w:rsid w:val="00D32030"/>
    <w:rsid w:val="00D32382"/>
    <w:rsid w:val="00D323E2"/>
    <w:rsid w:val="00D32524"/>
    <w:rsid w:val="00D32600"/>
    <w:rsid w:val="00D32645"/>
    <w:rsid w:val="00D32D88"/>
    <w:rsid w:val="00D32EEA"/>
    <w:rsid w:val="00D33066"/>
    <w:rsid w:val="00D33537"/>
    <w:rsid w:val="00D33871"/>
    <w:rsid w:val="00D33AF5"/>
    <w:rsid w:val="00D33B83"/>
    <w:rsid w:val="00D33FC4"/>
    <w:rsid w:val="00D3405B"/>
    <w:rsid w:val="00D3407B"/>
    <w:rsid w:val="00D341A1"/>
    <w:rsid w:val="00D341EE"/>
    <w:rsid w:val="00D34454"/>
    <w:rsid w:val="00D34551"/>
    <w:rsid w:val="00D3479D"/>
    <w:rsid w:val="00D34DDA"/>
    <w:rsid w:val="00D35422"/>
    <w:rsid w:val="00D3543E"/>
    <w:rsid w:val="00D3546B"/>
    <w:rsid w:val="00D354F5"/>
    <w:rsid w:val="00D35594"/>
    <w:rsid w:val="00D360AB"/>
    <w:rsid w:val="00D36873"/>
    <w:rsid w:val="00D370FE"/>
    <w:rsid w:val="00D37882"/>
    <w:rsid w:val="00D37B4E"/>
    <w:rsid w:val="00D37E1E"/>
    <w:rsid w:val="00D40060"/>
    <w:rsid w:val="00D409D1"/>
    <w:rsid w:val="00D411E7"/>
    <w:rsid w:val="00D4164D"/>
    <w:rsid w:val="00D41B3E"/>
    <w:rsid w:val="00D41BB9"/>
    <w:rsid w:val="00D41C18"/>
    <w:rsid w:val="00D42105"/>
    <w:rsid w:val="00D423D5"/>
    <w:rsid w:val="00D42619"/>
    <w:rsid w:val="00D42908"/>
    <w:rsid w:val="00D42BFB"/>
    <w:rsid w:val="00D42C53"/>
    <w:rsid w:val="00D4311A"/>
    <w:rsid w:val="00D433B4"/>
    <w:rsid w:val="00D43541"/>
    <w:rsid w:val="00D43721"/>
    <w:rsid w:val="00D43E80"/>
    <w:rsid w:val="00D441D2"/>
    <w:rsid w:val="00D444C4"/>
    <w:rsid w:val="00D44D87"/>
    <w:rsid w:val="00D44DDC"/>
    <w:rsid w:val="00D4531B"/>
    <w:rsid w:val="00D45A28"/>
    <w:rsid w:val="00D46880"/>
    <w:rsid w:val="00D46C63"/>
    <w:rsid w:val="00D4718F"/>
    <w:rsid w:val="00D47476"/>
    <w:rsid w:val="00D47958"/>
    <w:rsid w:val="00D47997"/>
    <w:rsid w:val="00D47A3B"/>
    <w:rsid w:val="00D47E9D"/>
    <w:rsid w:val="00D502DA"/>
    <w:rsid w:val="00D50591"/>
    <w:rsid w:val="00D50968"/>
    <w:rsid w:val="00D509D7"/>
    <w:rsid w:val="00D50B6E"/>
    <w:rsid w:val="00D50C37"/>
    <w:rsid w:val="00D513A3"/>
    <w:rsid w:val="00D516BA"/>
    <w:rsid w:val="00D51CBB"/>
    <w:rsid w:val="00D51EA1"/>
    <w:rsid w:val="00D522A4"/>
    <w:rsid w:val="00D522D5"/>
    <w:rsid w:val="00D5248B"/>
    <w:rsid w:val="00D53945"/>
    <w:rsid w:val="00D53AAB"/>
    <w:rsid w:val="00D540E0"/>
    <w:rsid w:val="00D5450C"/>
    <w:rsid w:val="00D54C22"/>
    <w:rsid w:val="00D5532D"/>
    <w:rsid w:val="00D553EB"/>
    <w:rsid w:val="00D557A3"/>
    <w:rsid w:val="00D55EF7"/>
    <w:rsid w:val="00D56199"/>
    <w:rsid w:val="00D563D6"/>
    <w:rsid w:val="00D5689B"/>
    <w:rsid w:val="00D57031"/>
    <w:rsid w:val="00D5736E"/>
    <w:rsid w:val="00D574C7"/>
    <w:rsid w:val="00D5779D"/>
    <w:rsid w:val="00D57B47"/>
    <w:rsid w:val="00D57DFA"/>
    <w:rsid w:val="00D57F14"/>
    <w:rsid w:val="00D6071C"/>
    <w:rsid w:val="00D60AA0"/>
    <w:rsid w:val="00D60E56"/>
    <w:rsid w:val="00D60F09"/>
    <w:rsid w:val="00D6106D"/>
    <w:rsid w:val="00D61E3B"/>
    <w:rsid w:val="00D6257E"/>
    <w:rsid w:val="00D62BA8"/>
    <w:rsid w:val="00D62D5C"/>
    <w:rsid w:val="00D63056"/>
    <w:rsid w:val="00D6314B"/>
    <w:rsid w:val="00D63845"/>
    <w:rsid w:val="00D639AD"/>
    <w:rsid w:val="00D63AB3"/>
    <w:rsid w:val="00D63AC8"/>
    <w:rsid w:val="00D64390"/>
    <w:rsid w:val="00D643A1"/>
    <w:rsid w:val="00D64DBF"/>
    <w:rsid w:val="00D64E8A"/>
    <w:rsid w:val="00D65146"/>
    <w:rsid w:val="00D65210"/>
    <w:rsid w:val="00D65768"/>
    <w:rsid w:val="00D658B3"/>
    <w:rsid w:val="00D659B1"/>
    <w:rsid w:val="00D65BEB"/>
    <w:rsid w:val="00D65D5D"/>
    <w:rsid w:val="00D66417"/>
    <w:rsid w:val="00D67129"/>
    <w:rsid w:val="00D6740C"/>
    <w:rsid w:val="00D67815"/>
    <w:rsid w:val="00D67AAC"/>
    <w:rsid w:val="00D67C00"/>
    <w:rsid w:val="00D67CD3"/>
    <w:rsid w:val="00D7009C"/>
    <w:rsid w:val="00D700DC"/>
    <w:rsid w:val="00D708A3"/>
    <w:rsid w:val="00D70A10"/>
    <w:rsid w:val="00D70EAF"/>
    <w:rsid w:val="00D70F98"/>
    <w:rsid w:val="00D71067"/>
    <w:rsid w:val="00D7106D"/>
    <w:rsid w:val="00D71572"/>
    <w:rsid w:val="00D717B1"/>
    <w:rsid w:val="00D71800"/>
    <w:rsid w:val="00D72248"/>
    <w:rsid w:val="00D7230B"/>
    <w:rsid w:val="00D7263D"/>
    <w:rsid w:val="00D726DF"/>
    <w:rsid w:val="00D72913"/>
    <w:rsid w:val="00D72F19"/>
    <w:rsid w:val="00D73072"/>
    <w:rsid w:val="00D73A38"/>
    <w:rsid w:val="00D73AA1"/>
    <w:rsid w:val="00D73D5D"/>
    <w:rsid w:val="00D73F7E"/>
    <w:rsid w:val="00D7523C"/>
    <w:rsid w:val="00D7579F"/>
    <w:rsid w:val="00D75A13"/>
    <w:rsid w:val="00D75E56"/>
    <w:rsid w:val="00D75F98"/>
    <w:rsid w:val="00D76360"/>
    <w:rsid w:val="00D7646C"/>
    <w:rsid w:val="00D76D70"/>
    <w:rsid w:val="00D771CC"/>
    <w:rsid w:val="00D771F9"/>
    <w:rsid w:val="00D77597"/>
    <w:rsid w:val="00D77A96"/>
    <w:rsid w:val="00D77AD5"/>
    <w:rsid w:val="00D805BB"/>
    <w:rsid w:val="00D80C14"/>
    <w:rsid w:val="00D81641"/>
    <w:rsid w:val="00D817B5"/>
    <w:rsid w:val="00D81D4E"/>
    <w:rsid w:val="00D81E10"/>
    <w:rsid w:val="00D81F27"/>
    <w:rsid w:val="00D82091"/>
    <w:rsid w:val="00D82152"/>
    <w:rsid w:val="00D82F3D"/>
    <w:rsid w:val="00D82FF3"/>
    <w:rsid w:val="00D83213"/>
    <w:rsid w:val="00D8346B"/>
    <w:rsid w:val="00D83A68"/>
    <w:rsid w:val="00D83A84"/>
    <w:rsid w:val="00D83A9F"/>
    <w:rsid w:val="00D83B5A"/>
    <w:rsid w:val="00D83CA2"/>
    <w:rsid w:val="00D83CE6"/>
    <w:rsid w:val="00D83E79"/>
    <w:rsid w:val="00D846FE"/>
    <w:rsid w:val="00D848DF"/>
    <w:rsid w:val="00D84B57"/>
    <w:rsid w:val="00D84B64"/>
    <w:rsid w:val="00D84E27"/>
    <w:rsid w:val="00D85297"/>
    <w:rsid w:val="00D85557"/>
    <w:rsid w:val="00D85575"/>
    <w:rsid w:val="00D85620"/>
    <w:rsid w:val="00D8563E"/>
    <w:rsid w:val="00D857D8"/>
    <w:rsid w:val="00D85F4F"/>
    <w:rsid w:val="00D8667F"/>
    <w:rsid w:val="00D86719"/>
    <w:rsid w:val="00D86B5A"/>
    <w:rsid w:val="00D86D06"/>
    <w:rsid w:val="00D86F01"/>
    <w:rsid w:val="00D875A9"/>
    <w:rsid w:val="00D875B4"/>
    <w:rsid w:val="00D87A05"/>
    <w:rsid w:val="00D87A94"/>
    <w:rsid w:val="00D87F7D"/>
    <w:rsid w:val="00D90201"/>
    <w:rsid w:val="00D904A0"/>
    <w:rsid w:val="00D9050D"/>
    <w:rsid w:val="00D90601"/>
    <w:rsid w:val="00D90744"/>
    <w:rsid w:val="00D9083F"/>
    <w:rsid w:val="00D90B5C"/>
    <w:rsid w:val="00D91BD0"/>
    <w:rsid w:val="00D91ED5"/>
    <w:rsid w:val="00D92242"/>
    <w:rsid w:val="00D92295"/>
    <w:rsid w:val="00D9243F"/>
    <w:rsid w:val="00D92681"/>
    <w:rsid w:val="00D927AA"/>
    <w:rsid w:val="00D9285F"/>
    <w:rsid w:val="00D92ED8"/>
    <w:rsid w:val="00D93182"/>
    <w:rsid w:val="00D93205"/>
    <w:rsid w:val="00D9360F"/>
    <w:rsid w:val="00D9377A"/>
    <w:rsid w:val="00D93D22"/>
    <w:rsid w:val="00D93FAF"/>
    <w:rsid w:val="00D941A2"/>
    <w:rsid w:val="00D951BE"/>
    <w:rsid w:val="00D955F6"/>
    <w:rsid w:val="00D957AB"/>
    <w:rsid w:val="00D957FA"/>
    <w:rsid w:val="00D95E08"/>
    <w:rsid w:val="00D9600B"/>
    <w:rsid w:val="00D96553"/>
    <w:rsid w:val="00D967E3"/>
    <w:rsid w:val="00D96B44"/>
    <w:rsid w:val="00D96EBC"/>
    <w:rsid w:val="00D971F0"/>
    <w:rsid w:val="00D97698"/>
    <w:rsid w:val="00D977EE"/>
    <w:rsid w:val="00D979B2"/>
    <w:rsid w:val="00DA04FE"/>
    <w:rsid w:val="00DA09EA"/>
    <w:rsid w:val="00DA0B3A"/>
    <w:rsid w:val="00DA0DEA"/>
    <w:rsid w:val="00DA1035"/>
    <w:rsid w:val="00DA120D"/>
    <w:rsid w:val="00DA13F9"/>
    <w:rsid w:val="00DA1404"/>
    <w:rsid w:val="00DA151C"/>
    <w:rsid w:val="00DA167C"/>
    <w:rsid w:val="00DA1720"/>
    <w:rsid w:val="00DA18CD"/>
    <w:rsid w:val="00DA19F8"/>
    <w:rsid w:val="00DA1DA5"/>
    <w:rsid w:val="00DA1FBC"/>
    <w:rsid w:val="00DA2203"/>
    <w:rsid w:val="00DA25CD"/>
    <w:rsid w:val="00DA28D1"/>
    <w:rsid w:val="00DA29D4"/>
    <w:rsid w:val="00DA2BEC"/>
    <w:rsid w:val="00DA2C5C"/>
    <w:rsid w:val="00DA2DEB"/>
    <w:rsid w:val="00DA3354"/>
    <w:rsid w:val="00DA341C"/>
    <w:rsid w:val="00DA370D"/>
    <w:rsid w:val="00DA39CD"/>
    <w:rsid w:val="00DA403A"/>
    <w:rsid w:val="00DA42F1"/>
    <w:rsid w:val="00DA47CC"/>
    <w:rsid w:val="00DA49CF"/>
    <w:rsid w:val="00DA4A9C"/>
    <w:rsid w:val="00DA4CBE"/>
    <w:rsid w:val="00DA5310"/>
    <w:rsid w:val="00DA58F2"/>
    <w:rsid w:val="00DA5BA5"/>
    <w:rsid w:val="00DA5FAA"/>
    <w:rsid w:val="00DA6181"/>
    <w:rsid w:val="00DA622D"/>
    <w:rsid w:val="00DA6386"/>
    <w:rsid w:val="00DA6426"/>
    <w:rsid w:val="00DA7073"/>
    <w:rsid w:val="00DA732C"/>
    <w:rsid w:val="00DA749F"/>
    <w:rsid w:val="00DA7FB2"/>
    <w:rsid w:val="00DB05C8"/>
    <w:rsid w:val="00DB07AC"/>
    <w:rsid w:val="00DB0A4E"/>
    <w:rsid w:val="00DB1546"/>
    <w:rsid w:val="00DB15E3"/>
    <w:rsid w:val="00DB1837"/>
    <w:rsid w:val="00DB194D"/>
    <w:rsid w:val="00DB1D14"/>
    <w:rsid w:val="00DB1D7C"/>
    <w:rsid w:val="00DB2C93"/>
    <w:rsid w:val="00DB2F42"/>
    <w:rsid w:val="00DB3610"/>
    <w:rsid w:val="00DB362D"/>
    <w:rsid w:val="00DB37BB"/>
    <w:rsid w:val="00DB388C"/>
    <w:rsid w:val="00DB3A51"/>
    <w:rsid w:val="00DB3D90"/>
    <w:rsid w:val="00DB40A2"/>
    <w:rsid w:val="00DB40B6"/>
    <w:rsid w:val="00DB4480"/>
    <w:rsid w:val="00DB452F"/>
    <w:rsid w:val="00DB46A2"/>
    <w:rsid w:val="00DB4ABE"/>
    <w:rsid w:val="00DB54AA"/>
    <w:rsid w:val="00DB5828"/>
    <w:rsid w:val="00DB5B50"/>
    <w:rsid w:val="00DB6190"/>
    <w:rsid w:val="00DB64FC"/>
    <w:rsid w:val="00DB6CF2"/>
    <w:rsid w:val="00DB6FBD"/>
    <w:rsid w:val="00DB700C"/>
    <w:rsid w:val="00DB7166"/>
    <w:rsid w:val="00DB755A"/>
    <w:rsid w:val="00DB7641"/>
    <w:rsid w:val="00DB78C5"/>
    <w:rsid w:val="00DB7E52"/>
    <w:rsid w:val="00DC0061"/>
    <w:rsid w:val="00DC0356"/>
    <w:rsid w:val="00DC0371"/>
    <w:rsid w:val="00DC07C2"/>
    <w:rsid w:val="00DC0C5C"/>
    <w:rsid w:val="00DC0C7D"/>
    <w:rsid w:val="00DC0E3D"/>
    <w:rsid w:val="00DC13B0"/>
    <w:rsid w:val="00DC160C"/>
    <w:rsid w:val="00DC18FB"/>
    <w:rsid w:val="00DC1D0D"/>
    <w:rsid w:val="00DC233D"/>
    <w:rsid w:val="00DC2468"/>
    <w:rsid w:val="00DC2512"/>
    <w:rsid w:val="00DC28F4"/>
    <w:rsid w:val="00DC2BFF"/>
    <w:rsid w:val="00DC2CD1"/>
    <w:rsid w:val="00DC2EF7"/>
    <w:rsid w:val="00DC30FC"/>
    <w:rsid w:val="00DC339C"/>
    <w:rsid w:val="00DC3901"/>
    <w:rsid w:val="00DC3C4F"/>
    <w:rsid w:val="00DC40C1"/>
    <w:rsid w:val="00DC4D9D"/>
    <w:rsid w:val="00DC530B"/>
    <w:rsid w:val="00DC57C7"/>
    <w:rsid w:val="00DC57DA"/>
    <w:rsid w:val="00DC5BA0"/>
    <w:rsid w:val="00DC60A5"/>
    <w:rsid w:val="00DC6352"/>
    <w:rsid w:val="00DC6356"/>
    <w:rsid w:val="00DC6424"/>
    <w:rsid w:val="00DC6753"/>
    <w:rsid w:val="00DC6D0A"/>
    <w:rsid w:val="00DC6D85"/>
    <w:rsid w:val="00DC71DC"/>
    <w:rsid w:val="00DC7229"/>
    <w:rsid w:val="00DC748E"/>
    <w:rsid w:val="00DC778D"/>
    <w:rsid w:val="00DD0066"/>
    <w:rsid w:val="00DD05CC"/>
    <w:rsid w:val="00DD0D54"/>
    <w:rsid w:val="00DD0E0E"/>
    <w:rsid w:val="00DD1025"/>
    <w:rsid w:val="00DD1037"/>
    <w:rsid w:val="00DD1234"/>
    <w:rsid w:val="00DD1403"/>
    <w:rsid w:val="00DD1743"/>
    <w:rsid w:val="00DD22A1"/>
    <w:rsid w:val="00DD266B"/>
    <w:rsid w:val="00DD26B4"/>
    <w:rsid w:val="00DD2C5D"/>
    <w:rsid w:val="00DD2D1D"/>
    <w:rsid w:val="00DD344C"/>
    <w:rsid w:val="00DD3E8B"/>
    <w:rsid w:val="00DD4180"/>
    <w:rsid w:val="00DD48DD"/>
    <w:rsid w:val="00DD49C0"/>
    <w:rsid w:val="00DD5F34"/>
    <w:rsid w:val="00DD651E"/>
    <w:rsid w:val="00DD68CE"/>
    <w:rsid w:val="00DD6A0B"/>
    <w:rsid w:val="00DD7352"/>
    <w:rsid w:val="00DD73FF"/>
    <w:rsid w:val="00DD7BED"/>
    <w:rsid w:val="00DE006D"/>
    <w:rsid w:val="00DE0168"/>
    <w:rsid w:val="00DE03E1"/>
    <w:rsid w:val="00DE0830"/>
    <w:rsid w:val="00DE08A5"/>
    <w:rsid w:val="00DE0915"/>
    <w:rsid w:val="00DE0D4C"/>
    <w:rsid w:val="00DE22E2"/>
    <w:rsid w:val="00DE2B80"/>
    <w:rsid w:val="00DE2DAE"/>
    <w:rsid w:val="00DE3168"/>
    <w:rsid w:val="00DE34C7"/>
    <w:rsid w:val="00DE3671"/>
    <w:rsid w:val="00DE38F7"/>
    <w:rsid w:val="00DE4F74"/>
    <w:rsid w:val="00DE5295"/>
    <w:rsid w:val="00DE5751"/>
    <w:rsid w:val="00DE57AC"/>
    <w:rsid w:val="00DE5E76"/>
    <w:rsid w:val="00DE5E95"/>
    <w:rsid w:val="00DE5F19"/>
    <w:rsid w:val="00DE605F"/>
    <w:rsid w:val="00DE6216"/>
    <w:rsid w:val="00DE636D"/>
    <w:rsid w:val="00DE6CF5"/>
    <w:rsid w:val="00DE6FA1"/>
    <w:rsid w:val="00DE7581"/>
    <w:rsid w:val="00DE767F"/>
    <w:rsid w:val="00DE782E"/>
    <w:rsid w:val="00DE7BEF"/>
    <w:rsid w:val="00DF0379"/>
    <w:rsid w:val="00DF0531"/>
    <w:rsid w:val="00DF09FD"/>
    <w:rsid w:val="00DF0B85"/>
    <w:rsid w:val="00DF0E71"/>
    <w:rsid w:val="00DF0E97"/>
    <w:rsid w:val="00DF1776"/>
    <w:rsid w:val="00DF1F68"/>
    <w:rsid w:val="00DF1F83"/>
    <w:rsid w:val="00DF1FAC"/>
    <w:rsid w:val="00DF296A"/>
    <w:rsid w:val="00DF2DD0"/>
    <w:rsid w:val="00DF2EBE"/>
    <w:rsid w:val="00DF3342"/>
    <w:rsid w:val="00DF370E"/>
    <w:rsid w:val="00DF38D8"/>
    <w:rsid w:val="00DF3A82"/>
    <w:rsid w:val="00DF3C04"/>
    <w:rsid w:val="00DF3CE8"/>
    <w:rsid w:val="00DF3E35"/>
    <w:rsid w:val="00DF3E68"/>
    <w:rsid w:val="00DF44B2"/>
    <w:rsid w:val="00DF47D7"/>
    <w:rsid w:val="00DF48C1"/>
    <w:rsid w:val="00DF4D68"/>
    <w:rsid w:val="00DF53E9"/>
    <w:rsid w:val="00DF565D"/>
    <w:rsid w:val="00DF5CA8"/>
    <w:rsid w:val="00DF6589"/>
    <w:rsid w:val="00DF66A3"/>
    <w:rsid w:val="00DF702F"/>
    <w:rsid w:val="00DF719A"/>
    <w:rsid w:val="00DF74C0"/>
    <w:rsid w:val="00DF78D1"/>
    <w:rsid w:val="00E0032E"/>
    <w:rsid w:val="00E00339"/>
    <w:rsid w:val="00E0053F"/>
    <w:rsid w:val="00E00BA2"/>
    <w:rsid w:val="00E01A24"/>
    <w:rsid w:val="00E01C9B"/>
    <w:rsid w:val="00E01E17"/>
    <w:rsid w:val="00E0270E"/>
    <w:rsid w:val="00E02779"/>
    <w:rsid w:val="00E02936"/>
    <w:rsid w:val="00E02CAA"/>
    <w:rsid w:val="00E02E12"/>
    <w:rsid w:val="00E03B0F"/>
    <w:rsid w:val="00E03CCA"/>
    <w:rsid w:val="00E041DD"/>
    <w:rsid w:val="00E04491"/>
    <w:rsid w:val="00E045FC"/>
    <w:rsid w:val="00E04992"/>
    <w:rsid w:val="00E04D03"/>
    <w:rsid w:val="00E05867"/>
    <w:rsid w:val="00E05BC9"/>
    <w:rsid w:val="00E05CB7"/>
    <w:rsid w:val="00E0606A"/>
    <w:rsid w:val="00E06267"/>
    <w:rsid w:val="00E064FC"/>
    <w:rsid w:val="00E06869"/>
    <w:rsid w:val="00E06915"/>
    <w:rsid w:val="00E06BB6"/>
    <w:rsid w:val="00E0706A"/>
    <w:rsid w:val="00E07450"/>
    <w:rsid w:val="00E075CB"/>
    <w:rsid w:val="00E07673"/>
    <w:rsid w:val="00E07D7F"/>
    <w:rsid w:val="00E1005D"/>
    <w:rsid w:val="00E105FD"/>
    <w:rsid w:val="00E10619"/>
    <w:rsid w:val="00E10693"/>
    <w:rsid w:val="00E10836"/>
    <w:rsid w:val="00E109C1"/>
    <w:rsid w:val="00E10A21"/>
    <w:rsid w:val="00E10C9D"/>
    <w:rsid w:val="00E10DAF"/>
    <w:rsid w:val="00E11446"/>
    <w:rsid w:val="00E11B11"/>
    <w:rsid w:val="00E12731"/>
    <w:rsid w:val="00E12739"/>
    <w:rsid w:val="00E127F7"/>
    <w:rsid w:val="00E130A5"/>
    <w:rsid w:val="00E133B4"/>
    <w:rsid w:val="00E1347D"/>
    <w:rsid w:val="00E139D7"/>
    <w:rsid w:val="00E13C31"/>
    <w:rsid w:val="00E13D71"/>
    <w:rsid w:val="00E13D9F"/>
    <w:rsid w:val="00E1448D"/>
    <w:rsid w:val="00E1473B"/>
    <w:rsid w:val="00E14962"/>
    <w:rsid w:val="00E15033"/>
    <w:rsid w:val="00E1556A"/>
    <w:rsid w:val="00E15DDA"/>
    <w:rsid w:val="00E16A27"/>
    <w:rsid w:val="00E16E90"/>
    <w:rsid w:val="00E17033"/>
    <w:rsid w:val="00E1742F"/>
    <w:rsid w:val="00E17A15"/>
    <w:rsid w:val="00E17DD6"/>
    <w:rsid w:val="00E17F86"/>
    <w:rsid w:val="00E20582"/>
    <w:rsid w:val="00E2058C"/>
    <w:rsid w:val="00E208C9"/>
    <w:rsid w:val="00E20A91"/>
    <w:rsid w:val="00E20D54"/>
    <w:rsid w:val="00E20D6D"/>
    <w:rsid w:val="00E20D8F"/>
    <w:rsid w:val="00E2106C"/>
    <w:rsid w:val="00E21433"/>
    <w:rsid w:val="00E214B0"/>
    <w:rsid w:val="00E21B15"/>
    <w:rsid w:val="00E22321"/>
    <w:rsid w:val="00E22896"/>
    <w:rsid w:val="00E23035"/>
    <w:rsid w:val="00E2322F"/>
    <w:rsid w:val="00E23583"/>
    <w:rsid w:val="00E23660"/>
    <w:rsid w:val="00E23832"/>
    <w:rsid w:val="00E23962"/>
    <w:rsid w:val="00E23993"/>
    <w:rsid w:val="00E23C1E"/>
    <w:rsid w:val="00E23E6E"/>
    <w:rsid w:val="00E24399"/>
    <w:rsid w:val="00E24452"/>
    <w:rsid w:val="00E252D3"/>
    <w:rsid w:val="00E253F7"/>
    <w:rsid w:val="00E255BC"/>
    <w:rsid w:val="00E25BA6"/>
    <w:rsid w:val="00E25BF2"/>
    <w:rsid w:val="00E2610F"/>
    <w:rsid w:val="00E262EA"/>
    <w:rsid w:val="00E2639B"/>
    <w:rsid w:val="00E26811"/>
    <w:rsid w:val="00E26BE1"/>
    <w:rsid w:val="00E26C0B"/>
    <w:rsid w:val="00E26C71"/>
    <w:rsid w:val="00E27040"/>
    <w:rsid w:val="00E2709E"/>
    <w:rsid w:val="00E27207"/>
    <w:rsid w:val="00E27250"/>
    <w:rsid w:val="00E27288"/>
    <w:rsid w:val="00E27D68"/>
    <w:rsid w:val="00E27E1D"/>
    <w:rsid w:val="00E304C1"/>
    <w:rsid w:val="00E30A70"/>
    <w:rsid w:val="00E30B30"/>
    <w:rsid w:val="00E30D4E"/>
    <w:rsid w:val="00E3154D"/>
    <w:rsid w:val="00E3157C"/>
    <w:rsid w:val="00E31629"/>
    <w:rsid w:val="00E31B9B"/>
    <w:rsid w:val="00E3208D"/>
    <w:rsid w:val="00E32188"/>
    <w:rsid w:val="00E32ACF"/>
    <w:rsid w:val="00E32C02"/>
    <w:rsid w:val="00E330B6"/>
    <w:rsid w:val="00E3319A"/>
    <w:rsid w:val="00E3391D"/>
    <w:rsid w:val="00E339BB"/>
    <w:rsid w:val="00E33BF1"/>
    <w:rsid w:val="00E345CB"/>
    <w:rsid w:val="00E3461D"/>
    <w:rsid w:val="00E348E6"/>
    <w:rsid w:val="00E349B4"/>
    <w:rsid w:val="00E34AA8"/>
    <w:rsid w:val="00E34FA2"/>
    <w:rsid w:val="00E3506C"/>
    <w:rsid w:val="00E35390"/>
    <w:rsid w:val="00E35391"/>
    <w:rsid w:val="00E3574D"/>
    <w:rsid w:val="00E3593F"/>
    <w:rsid w:val="00E36085"/>
    <w:rsid w:val="00E36177"/>
    <w:rsid w:val="00E370EF"/>
    <w:rsid w:val="00E37398"/>
    <w:rsid w:val="00E37576"/>
    <w:rsid w:val="00E376D2"/>
    <w:rsid w:val="00E379F0"/>
    <w:rsid w:val="00E37D65"/>
    <w:rsid w:val="00E37DE3"/>
    <w:rsid w:val="00E37FD4"/>
    <w:rsid w:val="00E4025C"/>
    <w:rsid w:val="00E4054C"/>
    <w:rsid w:val="00E409B6"/>
    <w:rsid w:val="00E40CAF"/>
    <w:rsid w:val="00E40D00"/>
    <w:rsid w:val="00E41865"/>
    <w:rsid w:val="00E41D20"/>
    <w:rsid w:val="00E421EB"/>
    <w:rsid w:val="00E42375"/>
    <w:rsid w:val="00E4295A"/>
    <w:rsid w:val="00E42AF7"/>
    <w:rsid w:val="00E435FE"/>
    <w:rsid w:val="00E43B01"/>
    <w:rsid w:val="00E43B0A"/>
    <w:rsid w:val="00E43DBC"/>
    <w:rsid w:val="00E4456F"/>
    <w:rsid w:val="00E446EC"/>
    <w:rsid w:val="00E4497D"/>
    <w:rsid w:val="00E449A2"/>
    <w:rsid w:val="00E44BC3"/>
    <w:rsid w:val="00E44C6E"/>
    <w:rsid w:val="00E44F4D"/>
    <w:rsid w:val="00E44FF6"/>
    <w:rsid w:val="00E4504D"/>
    <w:rsid w:val="00E45158"/>
    <w:rsid w:val="00E45705"/>
    <w:rsid w:val="00E457F6"/>
    <w:rsid w:val="00E45AC5"/>
    <w:rsid w:val="00E45EA9"/>
    <w:rsid w:val="00E46199"/>
    <w:rsid w:val="00E461C4"/>
    <w:rsid w:val="00E4632B"/>
    <w:rsid w:val="00E466D2"/>
    <w:rsid w:val="00E466F6"/>
    <w:rsid w:val="00E46902"/>
    <w:rsid w:val="00E46FB7"/>
    <w:rsid w:val="00E476BC"/>
    <w:rsid w:val="00E47CA6"/>
    <w:rsid w:val="00E47E8E"/>
    <w:rsid w:val="00E50901"/>
    <w:rsid w:val="00E511A8"/>
    <w:rsid w:val="00E5125B"/>
    <w:rsid w:val="00E51334"/>
    <w:rsid w:val="00E51685"/>
    <w:rsid w:val="00E5190B"/>
    <w:rsid w:val="00E51916"/>
    <w:rsid w:val="00E51D90"/>
    <w:rsid w:val="00E52193"/>
    <w:rsid w:val="00E527E1"/>
    <w:rsid w:val="00E52937"/>
    <w:rsid w:val="00E52CFE"/>
    <w:rsid w:val="00E52E82"/>
    <w:rsid w:val="00E53076"/>
    <w:rsid w:val="00E53BC0"/>
    <w:rsid w:val="00E53E9A"/>
    <w:rsid w:val="00E53EF5"/>
    <w:rsid w:val="00E548AB"/>
    <w:rsid w:val="00E54AB6"/>
    <w:rsid w:val="00E54E24"/>
    <w:rsid w:val="00E55848"/>
    <w:rsid w:val="00E559A3"/>
    <w:rsid w:val="00E559CF"/>
    <w:rsid w:val="00E55A14"/>
    <w:rsid w:val="00E55E29"/>
    <w:rsid w:val="00E55FDA"/>
    <w:rsid w:val="00E56070"/>
    <w:rsid w:val="00E5638D"/>
    <w:rsid w:val="00E56719"/>
    <w:rsid w:val="00E56B1A"/>
    <w:rsid w:val="00E57042"/>
    <w:rsid w:val="00E57785"/>
    <w:rsid w:val="00E57894"/>
    <w:rsid w:val="00E57B86"/>
    <w:rsid w:val="00E6007D"/>
    <w:rsid w:val="00E600D4"/>
    <w:rsid w:val="00E60158"/>
    <w:rsid w:val="00E6042D"/>
    <w:rsid w:val="00E60507"/>
    <w:rsid w:val="00E607EF"/>
    <w:rsid w:val="00E6108E"/>
    <w:rsid w:val="00E610FE"/>
    <w:rsid w:val="00E6140B"/>
    <w:rsid w:val="00E6167B"/>
    <w:rsid w:val="00E61C4E"/>
    <w:rsid w:val="00E624C7"/>
    <w:rsid w:val="00E626AE"/>
    <w:rsid w:val="00E62821"/>
    <w:rsid w:val="00E62CD4"/>
    <w:rsid w:val="00E630D4"/>
    <w:rsid w:val="00E632DE"/>
    <w:rsid w:val="00E63B6E"/>
    <w:rsid w:val="00E63FDC"/>
    <w:rsid w:val="00E64026"/>
    <w:rsid w:val="00E64215"/>
    <w:rsid w:val="00E642DD"/>
    <w:rsid w:val="00E6430A"/>
    <w:rsid w:val="00E6432C"/>
    <w:rsid w:val="00E64363"/>
    <w:rsid w:val="00E645FD"/>
    <w:rsid w:val="00E64809"/>
    <w:rsid w:val="00E6485C"/>
    <w:rsid w:val="00E64B50"/>
    <w:rsid w:val="00E6504F"/>
    <w:rsid w:val="00E65361"/>
    <w:rsid w:val="00E655A6"/>
    <w:rsid w:val="00E66241"/>
    <w:rsid w:val="00E66697"/>
    <w:rsid w:val="00E66BA4"/>
    <w:rsid w:val="00E6712D"/>
    <w:rsid w:val="00E6728F"/>
    <w:rsid w:val="00E67E0A"/>
    <w:rsid w:val="00E70052"/>
    <w:rsid w:val="00E70071"/>
    <w:rsid w:val="00E70F05"/>
    <w:rsid w:val="00E710DE"/>
    <w:rsid w:val="00E716C6"/>
    <w:rsid w:val="00E71A04"/>
    <w:rsid w:val="00E71F34"/>
    <w:rsid w:val="00E72067"/>
    <w:rsid w:val="00E72076"/>
    <w:rsid w:val="00E723D4"/>
    <w:rsid w:val="00E73675"/>
    <w:rsid w:val="00E73B22"/>
    <w:rsid w:val="00E745E4"/>
    <w:rsid w:val="00E746AD"/>
    <w:rsid w:val="00E74D52"/>
    <w:rsid w:val="00E74FFD"/>
    <w:rsid w:val="00E75262"/>
    <w:rsid w:val="00E75C62"/>
    <w:rsid w:val="00E76AAE"/>
    <w:rsid w:val="00E76C65"/>
    <w:rsid w:val="00E77901"/>
    <w:rsid w:val="00E77BCE"/>
    <w:rsid w:val="00E77BD0"/>
    <w:rsid w:val="00E77E26"/>
    <w:rsid w:val="00E80558"/>
    <w:rsid w:val="00E8064F"/>
    <w:rsid w:val="00E80BF3"/>
    <w:rsid w:val="00E80D42"/>
    <w:rsid w:val="00E80D9B"/>
    <w:rsid w:val="00E81041"/>
    <w:rsid w:val="00E81053"/>
    <w:rsid w:val="00E810BD"/>
    <w:rsid w:val="00E81CC6"/>
    <w:rsid w:val="00E81DEB"/>
    <w:rsid w:val="00E81E20"/>
    <w:rsid w:val="00E8230E"/>
    <w:rsid w:val="00E8255C"/>
    <w:rsid w:val="00E82C40"/>
    <w:rsid w:val="00E82D5D"/>
    <w:rsid w:val="00E82F6C"/>
    <w:rsid w:val="00E83264"/>
    <w:rsid w:val="00E833E8"/>
    <w:rsid w:val="00E83D3B"/>
    <w:rsid w:val="00E83EE3"/>
    <w:rsid w:val="00E8432C"/>
    <w:rsid w:val="00E845CA"/>
    <w:rsid w:val="00E8489D"/>
    <w:rsid w:val="00E848CD"/>
    <w:rsid w:val="00E84C68"/>
    <w:rsid w:val="00E85347"/>
    <w:rsid w:val="00E856B3"/>
    <w:rsid w:val="00E85747"/>
    <w:rsid w:val="00E85AFE"/>
    <w:rsid w:val="00E85C4B"/>
    <w:rsid w:val="00E85F1A"/>
    <w:rsid w:val="00E8684F"/>
    <w:rsid w:val="00E869FB"/>
    <w:rsid w:val="00E86A05"/>
    <w:rsid w:val="00E86D7A"/>
    <w:rsid w:val="00E87087"/>
    <w:rsid w:val="00E87215"/>
    <w:rsid w:val="00E872CE"/>
    <w:rsid w:val="00E87E33"/>
    <w:rsid w:val="00E90183"/>
    <w:rsid w:val="00E903D7"/>
    <w:rsid w:val="00E905F5"/>
    <w:rsid w:val="00E90916"/>
    <w:rsid w:val="00E90EB0"/>
    <w:rsid w:val="00E91083"/>
    <w:rsid w:val="00E913B5"/>
    <w:rsid w:val="00E919DD"/>
    <w:rsid w:val="00E91F6F"/>
    <w:rsid w:val="00E91FCF"/>
    <w:rsid w:val="00E9206D"/>
    <w:rsid w:val="00E9225B"/>
    <w:rsid w:val="00E923FC"/>
    <w:rsid w:val="00E928E4"/>
    <w:rsid w:val="00E93032"/>
    <w:rsid w:val="00E93090"/>
    <w:rsid w:val="00E934B1"/>
    <w:rsid w:val="00E9352E"/>
    <w:rsid w:val="00E937AC"/>
    <w:rsid w:val="00E93C5C"/>
    <w:rsid w:val="00E9490D"/>
    <w:rsid w:val="00E94E4C"/>
    <w:rsid w:val="00E951C7"/>
    <w:rsid w:val="00E952E0"/>
    <w:rsid w:val="00E95513"/>
    <w:rsid w:val="00E955BD"/>
    <w:rsid w:val="00E95773"/>
    <w:rsid w:val="00E95A78"/>
    <w:rsid w:val="00E96CBB"/>
    <w:rsid w:val="00E96D20"/>
    <w:rsid w:val="00E96D3C"/>
    <w:rsid w:val="00E96D94"/>
    <w:rsid w:val="00E971FC"/>
    <w:rsid w:val="00E97299"/>
    <w:rsid w:val="00E97352"/>
    <w:rsid w:val="00E97382"/>
    <w:rsid w:val="00E97424"/>
    <w:rsid w:val="00E97463"/>
    <w:rsid w:val="00E97904"/>
    <w:rsid w:val="00E97DBD"/>
    <w:rsid w:val="00EA0992"/>
    <w:rsid w:val="00EA0BDB"/>
    <w:rsid w:val="00EA17DE"/>
    <w:rsid w:val="00EA19DB"/>
    <w:rsid w:val="00EA1B6E"/>
    <w:rsid w:val="00EA1FB6"/>
    <w:rsid w:val="00EA1FBF"/>
    <w:rsid w:val="00EA219A"/>
    <w:rsid w:val="00EA23D1"/>
    <w:rsid w:val="00EA2636"/>
    <w:rsid w:val="00EA277F"/>
    <w:rsid w:val="00EA2802"/>
    <w:rsid w:val="00EA292A"/>
    <w:rsid w:val="00EA2BF9"/>
    <w:rsid w:val="00EA30D5"/>
    <w:rsid w:val="00EA3634"/>
    <w:rsid w:val="00EA38F5"/>
    <w:rsid w:val="00EA44FE"/>
    <w:rsid w:val="00EA45E7"/>
    <w:rsid w:val="00EA4948"/>
    <w:rsid w:val="00EA4CD2"/>
    <w:rsid w:val="00EA532C"/>
    <w:rsid w:val="00EA542D"/>
    <w:rsid w:val="00EA5512"/>
    <w:rsid w:val="00EA5663"/>
    <w:rsid w:val="00EA5AE3"/>
    <w:rsid w:val="00EA5D4C"/>
    <w:rsid w:val="00EA5F79"/>
    <w:rsid w:val="00EA60DE"/>
    <w:rsid w:val="00EA6746"/>
    <w:rsid w:val="00EA6773"/>
    <w:rsid w:val="00EA6C85"/>
    <w:rsid w:val="00EA74BF"/>
    <w:rsid w:val="00EA759C"/>
    <w:rsid w:val="00EB03CF"/>
    <w:rsid w:val="00EB06F6"/>
    <w:rsid w:val="00EB0790"/>
    <w:rsid w:val="00EB0C77"/>
    <w:rsid w:val="00EB0F5E"/>
    <w:rsid w:val="00EB10D6"/>
    <w:rsid w:val="00EB137A"/>
    <w:rsid w:val="00EB143B"/>
    <w:rsid w:val="00EB1C4E"/>
    <w:rsid w:val="00EB1EA6"/>
    <w:rsid w:val="00EB1EAF"/>
    <w:rsid w:val="00EB239B"/>
    <w:rsid w:val="00EB26FF"/>
    <w:rsid w:val="00EB27AA"/>
    <w:rsid w:val="00EB3141"/>
    <w:rsid w:val="00EB4002"/>
    <w:rsid w:val="00EB42B7"/>
    <w:rsid w:val="00EB44EA"/>
    <w:rsid w:val="00EB558A"/>
    <w:rsid w:val="00EB5AA3"/>
    <w:rsid w:val="00EB5ABA"/>
    <w:rsid w:val="00EB5DA0"/>
    <w:rsid w:val="00EB5E5F"/>
    <w:rsid w:val="00EB65B7"/>
    <w:rsid w:val="00EB6845"/>
    <w:rsid w:val="00EB6A0E"/>
    <w:rsid w:val="00EB6A38"/>
    <w:rsid w:val="00EB6BA9"/>
    <w:rsid w:val="00EB6C51"/>
    <w:rsid w:val="00EB6FA5"/>
    <w:rsid w:val="00EB7039"/>
    <w:rsid w:val="00EB7509"/>
    <w:rsid w:val="00EB7594"/>
    <w:rsid w:val="00EC001A"/>
    <w:rsid w:val="00EC03D6"/>
    <w:rsid w:val="00EC058A"/>
    <w:rsid w:val="00EC0820"/>
    <w:rsid w:val="00EC0823"/>
    <w:rsid w:val="00EC08EB"/>
    <w:rsid w:val="00EC0AF4"/>
    <w:rsid w:val="00EC0CFF"/>
    <w:rsid w:val="00EC0D87"/>
    <w:rsid w:val="00EC110D"/>
    <w:rsid w:val="00EC150E"/>
    <w:rsid w:val="00EC17A9"/>
    <w:rsid w:val="00EC187C"/>
    <w:rsid w:val="00EC2293"/>
    <w:rsid w:val="00EC2404"/>
    <w:rsid w:val="00EC2683"/>
    <w:rsid w:val="00EC2998"/>
    <w:rsid w:val="00EC2BA7"/>
    <w:rsid w:val="00EC2FA8"/>
    <w:rsid w:val="00EC3479"/>
    <w:rsid w:val="00EC3A1A"/>
    <w:rsid w:val="00EC3B42"/>
    <w:rsid w:val="00EC3C66"/>
    <w:rsid w:val="00EC40FD"/>
    <w:rsid w:val="00EC438B"/>
    <w:rsid w:val="00EC45EA"/>
    <w:rsid w:val="00EC4783"/>
    <w:rsid w:val="00EC4787"/>
    <w:rsid w:val="00EC4D1B"/>
    <w:rsid w:val="00EC4E8E"/>
    <w:rsid w:val="00EC4FE9"/>
    <w:rsid w:val="00EC50FB"/>
    <w:rsid w:val="00EC56A2"/>
    <w:rsid w:val="00EC5943"/>
    <w:rsid w:val="00EC5EAF"/>
    <w:rsid w:val="00EC61E9"/>
    <w:rsid w:val="00EC620E"/>
    <w:rsid w:val="00EC6B1D"/>
    <w:rsid w:val="00EC6CB8"/>
    <w:rsid w:val="00EC6CE7"/>
    <w:rsid w:val="00EC6CF4"/>
    <w:rsid w:val="00EC7201"/>
    <w:rsid w:val="00EC72B4"/>
    <w:rsid w:val="00EC73EA"/>
    <w:rsid w:val="00EC745B"/>
    <w:rsid w:val="00EC7643"/>
    <w:rsid w:val="00EC780C"/>
    <w:rsid w:val="00EC7EE2"/>
    <w:rsid w:val="00ED000D"/>
    <w:rsid w:val="00ED01AE"/>
    <w:rsid w:val="00ED0200"/>
    <w:rsid w:val="00ED0431"/>
    <w:rsid w:val="00ED0542"/>
    <w:rsid w:val="00ED1274"/>
    <w:rsid w:val="00ED1425"/>
    <w:rsid w:val="00ED14BB"/>
    <w:rsid w:val="00ED1F9C"/>
    <w:rsid w:val="00ED2527"/>
    <w:rsid w:val="00ED25AD"/>
    <w:rsid w:val="00ED26D1"/>
    <w:rsid w:val="00ED28CF"/>
    <w:rsid w:val="00ED294C"/>
    <w:rsid w:val="00ED2961"/>
    <w:rsid w:val="00ED2A96"/>
    <w:rsid w:val="00ED334C"/>
    <w:rsid w:val="00ED355E"/>
    <w:rsid w:val="00ED3832"/>
    <w:rsid w:val="00ED393B"/>
    <w:rsid w:val="00ED3CC1"/>
    <w:rsid w:val="00ED3FB7"/>
    <w:rsid w:val="00ED3FC3"/>
    <w:rsid w:val="00ED4592"/>
    <w:rsid w:val="00ED482F"/>
    <w:rsid w:val="00ED49AD"/>
    <w:rsid w:val="00ED4F3B"/>
    <w:rsid w:val="00ED5210"/>
    <w:rsid w:val="00ED5217"/>
    <w:rsid w:val="00ED5289"/>
    <w:rsid w:val="00ED5437"/>
    <w:rsid w:val="00ED5569"/>
    <w:rsid w:val="00ED60EF"/>
    <w:rsid w:val="00ED653F"/>
    <w:rsid w:val="00ED65A9"/>
    <w:rsid w:val="00ED68D4"/>
    <w:rsid w:val="00ED69FC"/>
    <w:rsid w:val="00ED6D49"/>
    <w:rsid w:val="00ED6EAE"/>
    <w:rsid w:val="00ED70E9"/>
    <w:rsid w:val="00ED76C6"/>
    <w:rsid w:val="00ED7BA1"/>
    <w:rsid w:val="00ED7D88"/>
    <w:rsid w:val="00ED7EDE"/>
    <w:rsid w:val="00EE00D8"/>
    <w:rsid w:val="00EE0A05"/>
    <w:rsid w:val="00EE0DD3"/>
    <w:rsid w:val="00EE0FB6"/>
    <w:rsid w:val="00EE1107"/>
    <w:rsid w:val="00EE169D"/>
    <w:rsid w:val="00EE16D1"/>
    <w:rsid w:val="00EE1A68"/>
    <w:rsid w:val="00EE2208"/>
    <w:rsid w:val="00EE24DA"/>
    <w:rsid w:val="00EE25E6"/>
    <w:rsid w:val="00EE2CE3"/>
    <w:rsid w:val="00EE2D40"/>
    <w:rsid w:val="00EE318A"/>
    <w:rsid w:val="00EE3554"/>
    <w:rsid w:val="00EE35F1"/>
    <w:rsid w:val="00EE3ECE"/>
    <w:rsid w:val="00EE42A4"/>
    <w:rsid w:val="00EE46FE"/>
    <w:rsid w:val="00EE4A9E"/>
    <w:rsid w:val="00EE4FE8"/>
    <w:rsid w:val="00EE5154"/>
    <w:rsid w:val="00EE515E"/>
    <w:rsid w:val="00EE5724"/>
    <w:rsid w:val="00EE57C8"/>
    <w:rsid w:val="00EE5A6D"/>
    <w:rsid w:val="00EE5C76"/>
    <w:rsid w:val="00EE606F"/>
    <w:rsid w:val="00EE6336"/>
    <w:rsid w:val="00EE642F"/>
    <w:rsid w:val="00EE6F43"/>
    <w:rsid w:val="00EE7903"/>
    <w:rsid w:val="00EE796E"/>
    <w:rsid w:val="00EE7B5C"/>
    <w:rsid w:val="00EE7E4E"/>
    <w:rsid w:val="00EE7E7D"/>
    <w:rsid w:val="00EF00E2"/>
    <w:rsid w:val="00EF057F"/>
    <w:rsid w:val="00EF1329"/>
    <w:rsid w:val="00EF15A0"/>
    <w:rsid w:val="00EF1906"/>
    <w:rsid w:val="00EF1E49"/>
    <w:rsid w:val="00EF1FCA"/>
    <w:rsid w:val="00EF248A"/>
    <w:rsid w:val="00EF257D"/>
    <w:rsid w:val="00EF2722"/>
    <w:rsid w:val="00EF2D44"/>
    <w:rsid w:val="00EF3046"/>
    <w:rsid w:val="00EF326A"/>
    <w:rsid w:val="00EF3DF2"/>
    <w:rsid w:val="00EF3E86"/>
    <w:rsid w:val="00EF4813"/>
    <w:rsid w:val="00EF489B"/>
    <w:rsid w:val="00EF4944"/>
    <w:rsid w:val="00EF4C78"/>
    <w:rsid w:val="00EF4D8C"/>
    <w:rsid w:val="00EF4DCE"/>
    <w:rsid w:val="00EF4E68"/>
    <w:rsid w:val="00EF5258"/>
    <w:rsid w:val="00EF53F0"/>
    <w:rsid w:val="00EF5585"/>
    <w:rsid w:val="00EF56CA"/>
    <w:rsid w:val="00EF581D"/>
    <w:rsid w:val="00EF5A99"/>
    <w:rsid w:val="00EF5CA6"/>
    <w:rsid w:val="00EF6564"/>
    <w:rsid w:val="00EF6655"/>
    <w:rsid w:val="00EF66A2"/>
    <w:rsid w:val="00EF6A73"/>
    <w:rsid w:val="00EF6B2E"/>
    <w:rsid w:val="00EF6FEA"/>
    <w:rsid w:val="00EF70CE"/>
    <w:rsid w:val="00EF7311"/>
    <w:rsid w:val="00EF7813"/>
    <w:rsid w:val="00EF7815"/>
    <w:rsid w:val="00F00089"/>
    <w:rsid w:val="00F004C5"/>
    <w:rsid w:val="00F00CC9"/>
    <w:rsid w:val="00F01762"/>
    <w:rsid w:val="00F01825"/>
    <w:rsid w:val="00F01A79"/>
    <w:rsid w:val="00F01BA0"/>
    <w:rsid w:val="00F01C2E"/>
    <w:rsid w:val="00F02568"/>
    <w:rsid w:val="00F0278B"/>
    <w:rsid w:val="00F02F98"/>
    <w:rsid w:val="00F0306F"/>
    <w:rsid w:val="00F031AF"/>
    <w:rsid w:val="00F033D3"/>
    <w:rsid w:val="00F03726"/>
    <w:rsid w:val="00F03A64"/>
    <w:rsid w:val="00F04945"/>
    <w:rsid w:val="00F04C5A"/>
    <w:rsid w:val="00F04CCB"/>
    <w:rsid w:val="00F04DF8"/>
    <w:rsid w:val="00F0515C"/>
    <w:rsid w:val="00F053F7"/>
    <w:rsid w:val="00F05FF5"/>
    <w:rsid w:val="00F0608D"/>
    <w:rsid w:val="00F06685"/>
    <w:rsid w:val="00F06730"/>
    <w:rsid w:val="00F06B38"/>
    <w:rsid w:val="00F06DC7"/>
    <w:rsid w:val="00F06E61"/>
    <w:rsid w:val="00F06F71"/>
    <w:rsid w:val="00F07210"/>
    <w:rsid w:val="00F07677"/>
    <w:rsid w:val="00F0775B"/>
    <w:rsid w:val="00F078F6"/>
    <w:rsid w:val="00F07EB7"/>
    <w:rsid w:val="00F101F8"/>
    <w:rsid w:val="00F10506"/>
    <w:rsid w:val="00F108A0"/>
    <w:rsid w:val="00F10A93"/>
    <w:rsid w:val="00F1108B"/>
    <w:rsid w:val="00F118D1"/>
    <w:rsid w:val="00F119AD"/>
    <w:rsid w:val="00F11DBB"/>
    <w:rsid w:val="00F12057"/>
    <w:rsid w:val="00F12206"/>
    <w:rsid w:val="00F123B2"/>
    <w:rsid w:val="00F12A12"/>
    <w:rsid w:val="00F12CA7"/>
    <w:rsid w:val="00F12D2D"/>
    <w:rsid w:val="00F12E57"/>
    <w:rsid w:val="00F13058"/>
    <w:rsid w:val="00F139A9"/>
    <w:rsid w:val="00F139B0"/>
    <w:rsid w:val="00F13EB6"/>
    <w:rsid w:val="00F14023"/>
    <w:rsid w:val="00F140E4"/>
    <w:rsid w:val="00F14367"/>
    <w:rsid w:val="00F146FE"/>
    <w:rsid w:val="00F149B2"/>
    <w:rsid w:val="00F14BA9"/>
    <w:rsid w:val="00F14D2A"/>
    <w:rsid w:val="00F157E7"/>
    <w:rsid w:val="00F15821"/>
    <w:rsid w:val="00F15FF7"/>
    <w:rsid w:val="00F160D3"/>
    <w:rsid w:val="00F16230"/>
    <w:rsid w:val="00F1635C"/>
    <w:rsid w:val="00F16420"/>
    <w:rsid w:val="00F16448"/>
    <w:rsid w:val="00F169FF"/>
    <w:rsid w:val="00F16AB7"/>
    <w:rsid w:val="00F17214"/>
    <w:rsid w:val="00F172A5"/>
    <w:rsid w:val="00F17579"/>
    <w:rsid w:val="00F177B7"/>
    <w:rsid w:val="00F1788B"/>
    <w:rsid w:val="00F17CE9"/>
    <w:rsid w:val="00F2055F"/>
    <w:rsid w:val="00F205CE"/>
    <w:rsid w:val="00F20D12"/>
    <w:rsid w:val="00F20E86"/>
    <w:rsid w:val="00F20EA8"/>
    <w:rsid w:val="00F2156D"/>
    <w:rsid w:val="00F215A8"/>
    <w:rsid w:val="00F21881"/>
    <w:rsid w:val="00F21B10"/>
    <w:rsid w:val="00F21F04"/>
    <w:rsid w:val="00F22684"/>
    <w:rsid w:val="00F226B2"/>
    <w:rsid w:val="00F22736"/>
    <w:rsid w:val="00F23197"/>
    <w:rsid w:val="00F231B0"/>
    <w:rsid w:val="00F2370C"/>
    <w:rsid w:val="00F23758"/>
    <w:rsid w:val="00F24250"/>
    <w:rsid w:val="00F24341"/>
    <w:rsid w:val="00F245D0"/>
    <w:rsid w:val="00F24ABD"/>
    <w:rsid w:val="00F24B2F"/>
    <w:rsid w:val="00F24B47"/>
    <w:rsid w:val="00F2500D"/>
    <w:rsid w:val="00F252B7"/>
    <w:rsid w:val="00F25A32"/>
    <w:rsid w:val="00F25B0E"/>
    <w:rsid w:val="00F25B47"/>
    <w:rsid w:val="00F25D34"/>
    <w:rsid w:val="00F264F9"/>
    <w:rsid w:val="00F26748"/>
    <w:rsid w:val="00F269D9"/>
    <w:rsid w:val="00F2771B"/>
    <w:rsid w:val="00F27A58"/>
    <w:rsid w:val="00F27A94"/>
    <w:rsid w:val="00F27E4B"/>
    <w:rsid w:val="00F3007D"/>
    <w:rsid w:val="00F300DD"/>
    <w:rsid w:val="00F30584"/>
    <w:rsid w:val="00F3074B"/>
    <w:rsid w:val="00F311AE"/>
    <w:rsid w:val="00F3159A"/>
    <w:rsid w:val="00F319E1"/>
    <w:rsid w:val="00F31BD9"/>
    <w:rsid w:val="00F31E6C"/>
    <w:rsid w:val="00F32438"/>
    <w:rsid w:val="00F32A19"/>
    <w:rsid w:val="00F334D6"/>
    <w:rsid w:val="00F335CA"/>
    <w:rsid w:val="00F33A49"/>
    <w:rsid w:val="00F33AB8"/>
    <w:rsid w:val="00F33CCA"/>
    <w:rsid w:val="00F33EA8"/>
    <w:rsid w:val="00F33EE3"/>
    <w:rsid w:val="00F33FF3"/>
    <w:rsid w:val="00F34667"/>
    <w:rsid w:val="00F34F12"/>
    <w:rsid w:val="00F34FBF"/>
    <w:rsid w:val="00F351F9"/>
    <w:rsid w:val="00F35502"/>
    <w:rsid w:val="00F355DD"/>
    <w:rsid w:val="00F35A46"/>
    <w:rsid w:val="00F35D45"/>
    <w:rsid w:val="00F35D4B"/>
    <w:rsid w:val="00F35ECA"/>
    <w:rsid w:val="00F35F06"/>
    <w:rsid w:val="00F36175"/>
    <w:rsid w:val="00F361C9"/>
    <w:rsid w:val="00F36899"/>
    <w:rsid w:val="00F37007"/>
    <w:rsid w:val="00F373D8"/>
    <w:rsid w:val="00F37A9E"/>
    <w:rsid w:val="00F4011D"/>
    <w:rsid w:val="00F40484"/>
    <w:rsid w:val="00F40DE2"/>
    <w:rsid w:val="00F40DFD"/>
    <w:rsid w:val="00F41D0B"/>
    <w:rsid w:val="00F41D90"/>
    <w:rsid w:val="00F42004"/>
    <w:rsid w:val="00F42A65"/>
    <w:rsid w:val="00F42C6B"/>
    <w:rsid w:val="00F42E37"/>
    <w:rsid w:val="00F42E3F"/>
    <w:rsid w:val="00F43068"/>
    <w:rsid w:val="00F43989"/>
    <w:rsid w:val="00F43FEE"/>
    <w:rsid w:val="00F442BF"/>
    <w:rsid w:val="00F44396"/>
    <w:rsid w:val="00F44D23"/>
    <w:rsid w:val="00F44D89"/>
    <w:rsid w:val="00F44EA2"/>
    <w:rsid w:val="00F44F68"/>
    <w:rsid w:val="00F454E6"/>
    <w:rsid w:val="00F458C3"/>
    <w:rsid w:val="00F45AA3"/>
    <w:rsid w:val="00F45BB1"/>
    <w:rsid w:val="00F45C18"/>
    <w:rsid w:val="00F45C1F"/>
    <w:rsid w:val="00F45F8C"/>
    <w:rsid w:val="00F46525"/>
    <w:rsid w:val="00F46567"/>
    <w:rsid w:val="00F4661E"/>
    <w:rsid w:val="00F46BBD"/>
    <w:rsid w:val="00F47ABE"/>
    <w:rsid w:val="00F47FCC"/>
    <w:rsid w:val="00F5009D"/>
    <w:rsid w:val="00F5028F"/>
    <w:rsid w:val="00F508F8"/>
    <w:rsid w:val="00F50989"/>
    <w:rsid w:val="00F50CBE"/>
    <w:rsid w:val="00F50D66"/>
    <w:rsid w:val="00F50E21"/>
    <w:rsid w:val="00F50F94"/>
    <w:rsid w:val="00F513DC"/>
    <w:rsid w:val="00F5164C"/>
    <w:rsid w:val="00F5164D"/>
    <w:rsid w:val="00F5192A"/>
    <w:rsid w:val="00F51E2B"/>
    <w:rsid w:val="00F520A9"/>
    <w:rsid w:val="00F52473"/>
    <w:rsid w:val="00F527CC"/>
    <w:rsid w:val="00F52AD0"/>
    <w:rsid w:val="00F52DCB"/>
    <w:rsid w:val="00F52DDB"/>
    <w:rsid w:val="00F52E08"/>
    <w:rsid w:val="00F5371B"/>
    <w:rsid w:val="00F54371"/>
    <w:rsid w:val="00F5467C"/>
    <w:rsid w:val="00F54919"/>
    <w:rsid w:val="00F54ACA"/>
    <w:rsid w:val="00F54C4A"/>
    <w:rsid w:val="00F54F02"/>
    <w:rsid w:val="00F54F3B"/>
    <w:rsid w:val="00F5513B"/>
    <w:rsid w:val="00F555A6"/>
    <w:rsid w:val="00F55876"/>
    <w:rsid w:val="00F55B0E"/>
    <w:rsid w:val="00F55F0D"/>
    <w:rsid w:val="00F56488"/>
    <w:rsid w:val="00F56C8F"/>
    <w:rsid w:val="00F56D6E"/>
    <w:rsid w:val="00F56E8F"/>
    <w:rsid w:val="00F56F1C"/>
    <w:rsid w:val="00F600C1"/>
    <w:rsid w:val="00F603D7"/>
    <w:rsid w:val="00F60679"/>
    <w:rsid w:val="00F60B1D"/>
    <w:rsid w:val="00F60B20"/>
    <w:rsid w:val="00F60FC7"/>
    <w:rsid w:val="00F611F6"/>
    <w:rsid w:val="00F61850"/>
    <w:rsid w:val="00F6186C"/>
    <w:rsid w:val="00F61B1F"/>
    <w:rsid w:val="00F61B52"/>
    <w:rsid w:val="00F61F49"/>
    <w:rsid w:val="00F6263E"/>
    <w:rsid w:val="00F62AF4"/>
    <w:rsid w:val="00F62CEF"/>
    <w:rsid w:val="00F62EAD"/>
    <w:rsid w:val="00F63371"/>
    <w:rsid w:val="00F6415D"/>
    <w:rsid w:val="00F64AA5"/>
    <w:rsid w:val="00F64C74"/>
    <w:rsid w:val="00F651D3"/>
    <w:rsid w:val="00F65506"/>
    <w:rsid w:val="00F65882"/>
    <w:rsid w:val="00F659E4"/>
    <w:rsid w:val="00F66DCC"/>
    <w:rsid w:val="00F6761C"/>
    <w:rsid w:val="00F678AD"/>
    <w:rsid w:val="00F67D61"/>
    <w:rsid w:val="00F70777"/>
    <w:rsid w:val="00F70B61"/>
    <w:rsid w:val="00F71186"/>
    <w:rsid w:val="00F71C1D"/>
    <w:rsid w:val="00F71D71"/>
    <w:rsid w:val="00F72026"/>
    <w:rsid w:val="00F72709"/>
    <w:rsid w:val="00F72758"/>
    <w:rsid w:val="00F72834"/>
    <w:rsid w:val="00F72B43"/>
    <w:rsid w:val="00F72ED5"/>
    <w:rsid w:val="00F73555"/>
    <w:rsid w:val="00F741A8"/>
    <w:rsid w:val="00F742F7"/>
    <w:rsid w:val="00F745EB"/>
    <w:rsid w:val="00F746C1"/>
    <w:rsid w:val="00F748DC"/>
    <w:rsid w:val="00F74CA4"/>
    <w:rsid w:val="00F75684"/>
    <w:rsid w:val="00F758C8"/>
    <w:rsid w:val="00F75F45"/>
    <w:rsid w:val="00F761B6"/>
    <w:rsid w:val="00F76372"/>
    <w:rsid w:val="00F766F8"/>
    <w:rsid w:val="00F76774"/>
    <w:rsid w:val="00F76A28"/>
    <w:rsid w:val="00F76A58"/>
    <w:rsid w:val="00F771D7"/>
    <w:rsid w:val="00F774A1"/>
    <w:rsid w:val="00F77D49"/>
    <w:rsid w:val="00F77E3F"/>
    <w:rsid w:val="00F80010"/>
    <w:rsid w:val="00F803FC"/>
    <w:rsid w:val="00F80D30"/>
    <w:rsid w:val="00F80FA8"/>
    <w:rsid w:val="00F81E45"/>
    <w:rsid w:val="00F82533"/>
    <w:rsid w:val="00F82B18"/>
    <w:rsid w:val="00F82CC8"/>
    <w:rsid w:val="00F82ECB"/>
    <w:rsid w:val="00F83116"/>
    <w:rsid w:val="00F836EF"/>
    <w:rsid w:val="00F83A33"/>
    <w:rsid w:val="00F83B36"/>
    <w:rsid w:val="00F83D4A"/>
    <w:rsid w:val="00F840DA"/>
    <w:rsid w:val="00F84244"/>
    <w:rsid w:val="00F846B1"/>
    <w:rsid w:val="00F84780"/>
    <w:rsid w:val="00F848ED"/>
    <w:rsid w:val="00F84D84"/>
    <w:rsid w:val="00F84E20"/>
    <w:rsid w:val="00F84FFB"/>
    <w:rsid w:val="00F8558E"/>
    <w:rsid w:val="00F85B88"/>
    <w:rsid w:val="00F85BFC"/>
    <w:rsid w:val="00F85C21"/>
    <w:rsid w:val="00F85D07"/>
    <w:rsid w:val="00F863CD"/>
    <w:rsid w:val="00F865B5"/>
    <w:rsid w:val="00F8664D"/>
    <w:rsid w:val="00F86B34"/>
    <w:rsid w:val="00F87124"/>
    <w:rsid w:val="00F872C6"/>
    <w:rsid w:val="00F87514"/>
    <w:rsid w:val="00F8777F"/>
    <w:rsid w:val="00F8782D"/>
    <w:rsid w:val="00F87B72"/>
    <w:rsid w:val="00F87CEE"/>
    <w:rsid w:val="00F900CD"/>
    <w:rsid w:val="00F904EE"/>
    <w:rsid w:val="00F907BC"/>
    <w:rsid w:val="00F909FD"/>
    <w:rsid w:val="00F90AD6"/>
    <w:rsid w:val="00F90DDD"/>
    <w:rsid w:val="00F91233"/>
    <w:rsid w:val="00F91328"/>
    <w:rsid w:val="00F91D3D"/>
    <w:rsid w:val="00F91D53"/>
    <w:rsid w:val="00F928BC"/>
    <w:rsid w:val="00F92BB7"/>
    <w:rsid w:val="00F92F57"/>
    <w:rsid w:val="00F9321A"/>
    <w:rsid w:val="00F93755"/>
    <w:rsid w:val="00F939D4"/>
    <w:rsid w:val="00F93A61"/>
    <w:rsid w:val="00F944A2"/>
    <w:rsid w:val="00F94797"/>
    <w:rsid w:val="00F949BB"/>
    <w:rsid w:val="00F94F30"/>
    <w:rsid w:val="00F9533B"/>
    <w:rsid w:val="00F9535F"/>
    <w:rsid w:val="00F9548B"/>
    <w:rsid w:val="00F955E0"/>
    <w:rsid w:val="00F95662"/>
    <w:rsid w:val="00F95870"/>
    <w:rsid w:val="00F95A43"/>
    <w:rsid w:val="00F95D0B"/>
    <w:rsid w:val="00F95DF4"/>
    <w:rsid w:val="00F95F08"/>
    <w:rsid w:val="00F9672F"/>
    <w:rsid w:val="00F96C53"/>
    <w:rsid w:val="00F96E0D"/>
    <w:rsid w:val="00F97106"/>
    <w:rsid w:val="00F9766A"/>
    <w:rsid w:val="00F976FD"/>
    <w:rsid w:val="00F97901"/>
    <w:rsid w:val="00FA0062"/>
    <w:rsid w:val="00FA00E6"/>
    <w:rsid w:val="00FA00EE"/>
    <w:rsid w:val="00FA02D4"/>
    <w:rsid w:val="00FA0387"/>
    <w:rsid w:val="00FA0587"/>
    <w:rsid w:val="00FA0598"/>
    <w:rsid w:val="00FA0623"/>
    <w:rsid w:val="00FA08AB"/>
    <w:rsid w:val="00FA0CBF"/>
    <w:rsid w:val="00FA11B6"/>
    <w:rsid w:val="00FA1E16"/>
    <w:rsid w:val="00FA1EC4"/>
    <w:rsid w:val="00FA248E"/>
    <w:rsid w:val="00FA25DC"/>
    <w:rsid w:val="00FA268E"/>
    <w:rsid w:val="00FA2CD4"/>
    <w:rsid w:val="00FA2F7C"/>
    <w:rsid w:val="00FA2FD3"/>
    <w:rsid w:val="00FA3496"/>
    <w:rsid w:val="00FA358A"/>
    <w:rsid w:val="00FA393E"/>
    <w:rsid w:val="00FA3B2B"/>
    <w:rsid w:val="00FA3D4D"/>
    <w:rsid w:val="00FA4F12"/>
    <w:rsid w:val="00FA4FBA"/>
    <w:rsid w:val="00FA4FF9"/>
    <w:rsid w:val="00FA50B4"/>
    <w:rsid w:val="00FA552C"/>
    <w:rsid w:val="00FA55E4"/>
    <w:rsid w:val="00FA5970"/>
    <w:rsid w:val="00FA612C"/>
    <w:rsid w:val="00FA654B"/>
    <w:rsid w:val="00FA6738"/>
    <w:rsid w:val="00FA69CD"/>
    <w:rsid w:val="00FA6A93"/>
    <w:rsid w:val="00FA6BE3"/>
    <w:rsid w:val="00FA6D32"/>
    <w:rsid w:val="00FA7013"/>
    <w:rsid w:val="00FA719B"/>
    <w:rsid w:val="00FA76E3"/>
    <w:rsid w:val="00FA77CE"/>
    <w:rsid w:val="00FA7A3D"/>
    <w:rsid w:val="00FA7E31"/>
    <w:rsid w:val="00FB0826"/>
    <w:rsid w:val="00FB0A01"/>
    <w:rsid w:val="00FB0A2B"/>
    <w:rsid w:val="00FB0BCE"/>
    <w:rsid w:val="00FB0ED4"/>
    <w:rsid w:val="00FB1383"/>
    <w:rsid w:val="00FB1389"/>
    <w:rsid w:val="00FB1516"/>
    <w:rsid w:val="00FB18EE"/>
    <w:rsid w:val="00FB18FB"/>
    <w:rsid w:val="00FB1B88"/>
    <w:rsid w:val="00FB1C74"/>
    <w:rsid w:val="00FB1D68"/>
    <w:rsid w:val="00FB208A"/>
    <w:rsid w:val="00FB219B"/>
    <w:rsid w:val="00FB24A3"/>
    <w:rsid w:val="00FB2D32"/>
    <w:rsid w:val="00FB3BBE"/>
    <w:rsid w:val="00FB3E51"/>
    <w:rsid w:val="00FB3EE9"/>
    <w:rsid w:val="00FB3F66"/>
    <w:rsid w:val="00FB41DE"/>
    <w:rsid w:val="00FB4992"/>
    <w:rsid w:val="00FB49C7"/>
    <w:rsid w:val="00FB5263"/>
    <w:rsid w:val="00FB52B6"/>
    <w:rsid w:val="00FB53FF"/>
    <w:rsid w:val="00FB5603"/>
    <w:rsid w:val="00FB5683"/>
    <w:rsid w:val="00FB5723"/>
    <w:rsid w:val="00FB5DF8"/>
    <w:rsid w:val="00FB5E28"/>
    <w:rsid w:val="00FB5FD0"/>
    <w:rsid w:val="00FB6041"/>
    <w:rsid w:val="00FB61D9"/>
    <w:rsid w:val="00FB628B"/>
    <w:rsid w:val="00FB64A0"/>
    <w:rsid w:val="00FB66A6"/>
    <w:rsid w:val="00FB6D6C"/>
    <w:rsid w:val="00FB6EC0"/>
    <w:rsid w:val="00FB6FE1"/>
    <w:rsid w:val="00FB7015"/>
    <w:rsid w:val="00FB7C0C"/>
    <w:rsid w:val="00FB7CE6"/>
    <w:rsid w:val="00FC0030"/>
    <w:rsid w:val="00FC011B"/>
    <w:rsid w:val="00FC0163"/>
    <w:rsid w:val="00FC03C4"/>
    <w:rsid w:val="00FC0442"/>
    <w:rsid w:val="00FC141E"/>
    <w:rsid w:val="00FC16FA"/>
    <w:rsid w:val="00FC190D"/>
    <w:rsid w:val="00FC1BB1"/>
    <w:rsid w:val="00FC1DF1"/>
    <w:rsid w:val="00FC22B8"/>
    <w:rsid w:val="00FC2E78"/>
    <w:rsid w:val="00FC2EF9"/>
    <w:rsid w:val="00FC2F08"/>
    <w:rsid w:val="00FC2F4A"/>
    <w:rsid w:val="00FC3F31"/>
    <w:rsid w:val="00FC3F73"/>
    <w:rsid w:val="00FC4181"/>
    <w:rsid w:val="00FC4664"/>
    <w:rsid w:val="00FC484C"/>
    <w:rsid w:val="00FC4C05"/>
    <w:rsid w:val="00FC4FCD"/>
    <w:rsid w:val="00FC50B9"/>
    <w:rsid w:val="00FC51D9"/>
    <w:rsid w:val="00FC5548"/>
    <w:rsid w:val="00FC573E"/>
    <w:rsid w:val="00FC680F"/>
    <w:rsid w:val="00FC69D5"/>
    <w:rsid w:val="00FC6CFC"/>
    <w:rsid w:val="00FC6F83"/>
    <w:rsid w:val="00FC79A0"/>
    <w:rsid w:val="00FC79E1"/>
    <w:rsid w:val="00FD00FB"/>
    <w:rsid w:val="00FD01FE"/>
    <w:rsid w:val="00FD0476"/>
    <w:rsid w:val="00FD07B8"/>
    <w:rsid w:val="00FD084F"/>
    <w:rsid w:val="00FD0BB5"/>
    <w:rsid w:val="00FD0FDA"/>
    <w:rsid w:val="00FD106C"/>
    <w:rsid w:val="00FD1273"/>
    <w:rsid w:val="00FD193B"/>
    <w:rsid w:val="00FD19E4"/>
    <w:rsid w:val="00FD1C1E"/>
    <w:rsid w:val="00FD1D39"/>
    <w:rsid w:val="00FD1D44"/>
    <w:rsid w:val="00FD1FF3"/>
    <w:rsid w:val="00FD21F1"/>
    <w:rsid w:val="00FD23C2"/>
    <w:rsid w:val="00FD264E"/>
    <w:rsid w:val="00FD2671"/>
    <w:rsid w:val="00FD2794"/>
    <w:rsid w:val="00FD2828"/>
    <w:rsid w:val="00FD3137"/>
    <w:rsid w:val="00FD3896"/>
    <w:rsid w:val="00FD3B8D"/>
    <w:rsid w:val="00FD3DB4"/>
    <w:rsid w:val="00FD3FA3"/>
    <w:rsid w:val="00FD41FA"/>
    <w:rsid w:val="00FD4A00"/>
    <w:rsid w:val="00FD4B14"/>
    <w:rsid w:val="00FD4CB2"/>
    <w:rsid w:val="00FD53D2"/>
    <w:rsid w:val="00FD576F"/>
    <w:rsid w:val="00FD621A"/>
    <w:rsid w:val="00FD63D2"/>
    <w:rsid w:val="00FD643B"/>
    <w:rsid w:val="00FD656C"/>
    <w:rsid w:val="00FD6DDD"/>
    <w:rsid w:val="00FD7019"/>
    <w:rsid w:val="00FD7293"/>
    <w:rsid w:val="00FD745E"/>
    <w:rsid w:val="00FD74D4"/>
    <w:rsid w:val="00FD776A"/>
    <w:rsid w:val="00FD797D"/>
    <w:rsid w:val="00FD7C8F"/>
    <w:rsid w:val="00FE06FF"/>
    <w:rsid w:val="00FE0788"/>
    <w:rsid w:val="00FE07DD"/>
    <w:rsid w:val="00FE0803"/>
    <w:rsid w:val="00FE0B6C"/>
    <w:rsid w:val="00FE0D36"/>
    <w:rsid w:val="00FE0DBF"/>
    <w:rsid w:val="00FE0E70"/>
    <w:rsid w:val="00FE106D"/>
    <w:rsid w:val="00FE120B"/>
    <w:rsid w:val="00FE159D"/>
    <w:rsid w:val="00FE159F"/>
    <w:rsid w:val="00FE160C"/>
    <w:rsid w:val="00FE19D9"/>
    <w:rsid w:val="00FE1D04"/>
    <w:rsid w:val="00FE21B8"/>
    <w:rsid w:val="00FE21E0"/>
    <w:rsid w:val="00FE2935"/>
    <w:rsid w:val="00FE2C57"/>
    <w:rsid w:val="00FE2D2B"/>
    <w:rsid w:val="00FE3027"/>
    <w:rsid w:val="00FE348C"/>
    <w:rsid w:val="00FE3681"/>
    <w:rsid w:val="00FE3A5E"/>
    <w:rsid w:val="00FE3C33"/>
    <w:rsid w:val="00FE3DDA"/>
    <w:rsid w:val="00FE3FD8"/>
    <w:rsid w:val="00FE404D"/>
    <w:rsid w:val="00FE48A9"/>
    <w:rsid w:val="00FE4970"/>
    <w:rsid w:val="00FE4C35"/>
    <w:rsid w:val="00FE4E8B"/>
    <w:rsid w:val="00FE536D"/>
    <w:rsid w:val="00FE589F"/>
    <w:rsid w:val="00FE5E8C"/>
    <w:rsid w:val="00FE62E2"/>
    <w:rsid w:val="00FE655A"/>
    <w:rsid w:val="00FE6B80"/>
    <w:rsid w:val="00FE6E7A"/>
    <w:rsid w:val="00FE748F"/>
    <w:rsid w:val="00FE77AB"/>
    <w:rsid w:val="00FE7897"/>
    <w:rsid w:val="00FE794C"/>
    <w:rsid w:val="00FE7F03"/>
    <w:rsid w:val="00FF00A7"/>
    <w:rsid w:val="00FF04C0"/>
    <w:rsid w:val="00FF0A82"/>
    <w:rsid w:val="00FF0B68"/>
    <w:rsid w:val="00FF0BA9"/>
    <w:rsid w:val="00FF0E17"/>
    <w:rsid w:val="00FF136D"/>
    <w:rsid w:val="00FF14AA"/>
    <w:rsid w:val="00FF160C"/>
    <w:rsid w:val="00FF1764"/>
    <w:rsid w:val="00FF1A20"/>
    <w:rsid w:val="00FF1C8A"/>
    <w:rsid w:val="00FF267F"/>
    <w:rsid w:val="00FF2A23"/>
    <w:rsid w:val="00FF2D07"/>
    <w:rsid w:val="00FF2EE3"/>
    <w:rsid w:val="00FF3029"/>
    <w:rsid w:val="00FF30B8"/>
    <w:rsid w:val="00FF3338"/>
    <w:rsid w:val="00FF34B8"/>
    <w:rsid w:val="00FF367B"/>
    <w:rsid w:val="00FF39A7"/>
    <w:rsid w:val="00FF3C9E"/>
    <w:rsid w:val="00FF3CFF"/>
    <w:rsid w:val="00FF3E1B"/>
    <w:rsid w:val="00FF4243"/>
    <w:rsid w:val="00FF4531"/>
    <w:rsid w:val="00FF4538"/>
    <w:rsid w:val="00FF45FC"/>
    <w:rsid w:val="00FF471C"/>
    <w:rsid w:val="00FF4A86"/>
    <w:rsid w:val="00FF4CD5"/>
    <w:rsid w:val="00FF5656"/>
    <w:rsid w:val="00FF57CA"/>
    <w:rsid w:val="00FF5993"/>
    <w:rsid w:val="00FF5EA8"/>
    <w:rsid w:val="00FF63BD"/>
    <w:rsid w:val="00FF667E"/>
    <w:rsid w:val="00FF6CB1"/>
    <w:rsid w:val="00FF7A75"/>
    <w:rsid w:val="00FF7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FD0E0"/>
  <w15:chartTrackingRefBased/>
  <w15:docId w15:val="{23D874BD-5DA1-6C44-9334-6913431C7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A20"/>
    <w:pPr>
      <w:spacing w:line="276" w:lineRule="auto"/>
      <w:jc w:val="both"/>
    </w:pPr>
    <w:rPr>
      <w:rFonts w:cs="Times New Roman (Body CS)"/>
      <w:sz w:val="22"/>
    </w:rPr>
  </w:style>
  <w:style w:type="paragraph" w:styleId="Heading1">
    <w:name w:val="heading 1"/>
    <w:basedOn w:val="Normal"/>
    <w:next w:val="Normal"/>
    <w:link w:val="Heading1Char"/>
    <w:uiPriority w:val="9"/>
    <w:qFormat/>
    <w:rsid w:val="00142D0D"/>
    <w:pPr>
      <w:keepNext/>
      <w:keepLines/>
      <w:spacing w:before="120" w:after="120"/>
      <w:outlineLvl w:val="0"/>
    </w:pPr>
    <w:rPr>
      <w:rFonts w:asciiTheme="majorHAnsi" w:eastAsiaTheme="majorEastAsia" w:hAnsiTheme="majorHAnsi" w:cstheme="majorBidi"/>
      <w:b/>
      <w:color w:val="000000" w:themeColor="text1"/>
      <w:sz w:val="24"/>
      <w:szCs w:val="32"/>
    </w:rPr>
  </w:style>
  <w:style w:type="paragraph" w:styleId="Heading2">
    <w:name w:val="heading 2"/>
    <w:basedOn w:val="Normal"/>
    <w:next w:val="Normal"/>
    <w:link w:val="Heading2Char"/>
    <w:uiPriority w:val="9"/>
    <w:unhideWhenUsed/>
    <w:qFormat/>
    <w:rsid w:val="00090E11"/>
    <w:pPr>
      <w:keepNext/>
      <w:keepLines/>
      <w:spacing w:before="120" w:after="6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041892"/>
    <w:pPr>
      <w:keepNext/>
      <w:keepLines/>
      <w:spacing w:before="60" w:after="6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8A3A5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A3A5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A3A5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A3A5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A3A5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A3A5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68C"/>
    <w:pPr>
      <w:ind w:left="720"/>
      <w:contextualSpacing/>
    </w:pPr>
  </w:style>
  <w:style w:type="paragraph" w:styleId="BalloonText">
    <w:name w:val="Balloon Text"/>
    <w:basedOn w:val="Normal"/>
    <w:link w:val="BalloonTextChar"/>
    <w:uiPriority w:val="99"/>
    <w:semiHidden/>
    <w:unhideWhenUsed/>
    <w:rsid w:val="00B112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12D8"/>
    <w:rPr>
      <w:rFonts w:ascii="Times New Roman" w:hAnsi="Times New Roman" w:cs="Times New Roman"/>
      <w:sz w:val="18"/>
      <w:szCs w:val="18"/>
    </w:rPr>
  </w:style>
  <w:style w:type="character" w:styleId="Hyperlink">
    <w:name w:val="Hyperlink"/>
    <w:basedOn w:val="DefaultParagraphFont"/>
    <w:uiPriority w:val="99"/>
    <w:unhideWhenUsed/>
    <w:rsid w:val="00B112D8"/>
    <w:rPr>
      <w:color w:val="0563C1" w:themeColor="hyperlink"/>
      <w:u w:val="single"/>
    </w:rPr>
  </w:style>
  <w:style w:type="character" w:styleId="UnresolvedMention">
    <w:name w:val="Unresolved Mention"/>
    <w:basedOn w:val="DefaultParagraphFont"/>
    <w:uiPriority w:val="99"/>
    <w:semiHidden/>
    <w:unhideWhenUsed/>
    <w:rsid w:val="00B112D8"/>
    <w:rPr>
      <w:color w:val="605E5C"/>
      <w:shd w:val="clear" w:color="auto" w:fill="E1DFDD"/>
    </w:rPr>
  </w:style>
  <w:style w:type="paragraph" w:styleId="Footer">
    <w:name w:val="footer"/>
    <w:basedOn w:val="Normal"/>
    <w:link w:val="FooterChar"/>
    <w:uiPriority w:val="99"/>
    <w:unhideWhenUsed/>
    <w:rsid w:val="00114616"/>
    <w:pPr>
      <w:tabs>
        <w:tab w:val="center" w:pos="4680"/>
        <w:tab w:val="right" w:pos="9360"/>
      </w:tabs>
    </w:pPr>
  </w:style>
  <w:style w:type="character" w:customStyle="1" w:styleId="FooterChar">
    <w:name w:val="Footer Char"/>
    <w:basedOn w:val="DefaultParagraphFont"/>
    <w:link w:val="Footer"/>
    <w:uiPriority w:val="99"/>
    <w:rsid w:val="00114616"/>
  </w:style>
  <w:style w:type="character" w:styleId="PageNumber">
    <w:name w:val="page number"/>
    <w:basedOn w:val="DefaultParagraphFont"/>
    <w:uiPriority w:val="99"/>
    <w:semiHidden/>
    <w:unhideWhenUsed/>
    <w:rsid w:val="00114616"/>
  </w:style>
  <w:style w:type="character" w:styleId="FollowedHyperlink">
    <w:name w:val="FollowedHyperlink"/>
    <w:basedOn w:val="DefaultParagraphFont"/>
    <w:uiPriority w:val="99"/>
    <w:semiHidden/>
    <w:unhideWhenUsed/>
    <w:rsid w:val="009149AF"/>
    <w:rPr>
      <w:color w:val="954F72" w:themeColor="followedHyperlink"/>
      <w:u w:val="single"/>
    </w:rPr>
  </w:style>
  <w:style w:type="character" w:styleId="CommentReference">
    <w:name w:val="annotation reference"/>
    <w:basedOn w:val="DefaultParagraphFont"/>
    <w:uiPriority w:val="99"/>
    <w:semiHidden/>
    <w:unhideWhenUsed/>
    <w:rsid w:val="00367ECE"/>
    <w:rPr>
      <w:sz w:val="16"/>
      <w:szCs w:val="16"/>
    </w:rPr>
  </w:style>
  <w:style w:type="paragraph" w:styleId="CommentText">
    <w:name w:val="annotation text"/>
    <w:basedOn w:val="Normal"/>
    <w:link w:val="CommentTextChar"/>
    <w:uiPriority w:val="99"/>
    <w:semiHidden/>
    <w:unhideWhenUsed/>
    <w:rsid w:val="00367ECE"/>
    <w:rPr>
      <w:sz w:val="20"/>
      <w:szCs w:val="20"/>
    </w:rPr>
  </w:style>
  <w:style w:type="character" w:customStyle="1" w:styleId="CommentTextChar">
    <w:name w:val="Comment Text Char"/>
    <w:basedOn w:val="DefaultParagraphFont"/>
    <w:link w:val="CommentText"/>
    <w:uiPriority w:val="99"/>
    <w:semiHidden/>
    <w:rsid w:val="00367ECE"/>
    <w:rPr>
      <w:sz w:val="20"/>
      <w:szCs w:val="20"/>
    </w:rPr>
  </w:style>
  <w:style w:type="paragraph" w:styleId="Header">
    <w:name w:val="header"/>
    <w:basedOn w:val="Normal"/>
    <w:link w:val="HeaderChar"/>
    <w:uiPriority w:val="99"/>
    <w:unhideWhenUsed/>
    <w:rsid w:val="00A75F98"/>
    <w:pPr>
      <w:tabs>
        <w:tab w:val="center" w:pos="4680"/>
        <w:tab w:val="right" w:pos="9360"/>
      </w:tabs>
    </w:pPr>
  </w:style>
  <w:style w:type="character" w:customStyle="1" w:styleId="HeaderChar">
    <w:name w:val="Header Char"/>
    <w:basedOn w:val="DefaultParagraphFont"/>
    <w:link w:val="Header"/>
    <w:uiPriority w:val="99"/>
    <w:rsid w:val="00A75F98"/>
  </w:style>
  <w:style w:type="character" w:customStyle="1" w:styleId="Heading1Char">
    <w:name w:val="Heading 1 Char"/>
    <w:basedOn w:val="DefaultParagraphFont"/>
    <w:link w:val="Heading1"/>
    <w:uiPriority w:val="9"/>
    <w:rsid w:val="00142D0D"/>
    <w:rPr>
      <w:rFonts w:asciiTheme="majorHAnsi" w:eastAsiaTheme="majorEastAsia" w:hAnsiTheme="majorHAnsi" w:cstheme="majorBidi"/>
      <w:b/>
      <w:color w:val="000000" w:themeColor="text1"/>
      <w:szCs w:val="32"/>
    </w:rPr>
  </w:style>
  <w:style w:type="character" w:customStyle="1" w:styleId="Heading2Char">
    <w:name w:val="Heading 2 Char"/>
    <w:basedOn w:val="DefaultParagraphFont"/>
    <w:link w:val="Heading2"/>
    <w:uiPriority w:val="9"/>
    <w:rsid w:val="00090E11"/>
    <w:rPr>
      <w:rFonts w:eastAsiaTheme="majorEastAsia" w:cstheme="majorBidi"/>
      <w:b/>
      <w:color w:val="000000" w:themeColor="text1"/>
      <w:szCs w:val="26"/>
    </w:rPr>
  </w:style>
  <w:style w:type="paragraph" w:styleId="CommentSubject">
    <w:name w:val="annotation subject"/>
    <w:basedOn w:val="CommentText"/>
    <w:next w:val="CommentText"/>
    <w:link w:val="CommentSubjectChar"/>
    <w:uiPriority w:val="99"/>
    <w:semiHidden/>
    <w:unhideWhenUsed/>
    <w:rsid w:val="00C12852"/>
    <w:pPr>
      <w:spacing w:line="240" w:lineRule="auto"/>
    </w:pPr>
    <w:rPr>
      <w:b/>
      <w:bCs/>
    </w:rPr>
  </w:style>
  <w:style w:type="character" w:customStyle="1" w:styleId="CommentSubjectChar">
    <w:name w:val="Comment Subject Char"/>
    <w:basedOn w:val="CommentTextChar"/>
    <w:link w:val="CommentSubject"/>
    <w:uiPriority w:val="99"/>
    <w:semiHidden/>
    <w:rsid w:val="00C12852"/>
    <w:rPr>
      <w:rFonts w:cs="Times New Roman (Body CS)"/>
      <w:b/>
      <w:bCs/>
      <w:sz w:val="20"/>
      <w:szCs w:val="20"/>
    </w:rPr>
  </w:style>
  <w:style w:type="character" w:customStyle="1" w:styleId="Heading3Char">
    <w:name w:val="Heading 3 Char"/>
    <w:basedOn w:val="DefaultParagraphFont"/>
    <w:link w:val="Heading3"/>
    <w:uiPriority w:val="9"/>
    <w:rsid w:val="00041892"/>
    <w:rPr>
      <w:rFonts w:eastAsiaTheme="majorEastAsia" w:cstheme="majorBidi"/>
      <w:b/>
      <w:color w:val="000000" w:themeColor="text1"/>
      <w:sz w:val="22"/>
    </w:rPr>
  </w:style>
  <w:style w:type="paragraph" w:styleId="NormalWeb">
    <w:name w:val="Normal (Web)"/>
    <w:basedOn w:val="Normal"/>
    <w:uiPriority w:val="99"/>
    <w:unhideWhenUsed/>
    <w:rsid w:val="007E4EC1"/>
    <w:pPr>
      <w:spacing w:before="100" w:beforeAutospacing="1" w:after="100" w:afterAutospacing="1" w:line="240" w:lineRule="auto"/>
      <w:jc w:val="left"/>
    </w:pPr>
    <w:rPr>
      <w:rFonts w:ascii="Times New Roman" w:eastAsia="Times New Roman" w:hAnsi="Times New Roman" w:cs="Times New Roman"/>
      <w:sz w:val="24"/>
      <w:lang w:eastAsia="en-GB"/>
    </w:rPr>
  </w:style>
  <w:style w:type="paragraph" w:styleId="Revision">
    <w:name w:val="Revision"/>
    <w:hidden/>
    <w:uiPriority w:val="99"/>
    <w:semiHidden/>
    <w:rsid w:val="00A551FE"/>
    <w:rPr>
      <w:rFonts w:cs="Times New Roman (Body CS)"/>
      <w:sz w:val="22"/>
    </w:rPr>
  </w:style>
  <w:style w:type="character" w:customStyle="1" w:styleId="Heading4Char">
    <w:name w:val="Heading 4 Char"/>
    <w:basedOn w:val="DefaultParagraphFont"/>
    <w:link w:val="Heading4"/>
    <w:uiPriority w:val="9"/>
    <w:rsid w:val="008A3A5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8A3A5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rsid w:val="008A3A5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A3A5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8A3A5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A3A5A"/>
    <w:rPr>
      <w:rFonts w:asciiTheme="majorHAnsi" w:eastAsiaTheme="majorEastAsia" w:hAnsiTheme="majorHAnsi" w:cstheme="majorBidi"/>
      <w:i/>
      <w:iCs/>
      <w:color w:val="272727" w:themeColor="text1" w:themeTint="D8"/>
      <w:sz w:val="21"/>
      <w:szCs w:val="21"/>
    </w:rPr>
  </w:style>
  <w:style w:type="character" w:styleId="LineNumber">
    <w:name w:val="line number"/>
    <w:basedOn w:val="DefaultParagraphFont"/>
    <w:uiPriority w:val="99"/>
    <w:semiHidden/>
    <w:unhideWhenUsed/>
    <w:rsid w:val="00926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7255">
      <w:bodyDiv w:val="1"/>
      <w:marLeft w:val="0"/>
      <w:marRight w:val="0"/>
      <w:marTop w:val="0"/>
      <w:marBottom w:val="0"/>
      <w:divBdr>
        <w:top w:val="none" w:sz="0" w:space="0" w:color="auto"/>
        <w:left w:val="none" w:sz="0" w:space="0" w:color="auto"/>
        <w:bottom w:val="none" w:sz="0" w:space="0" w:color="auto"/>
        <w:right w:val="none" w:sz="0" w:space="0" w:color="auto"/>
      </w:divBdr>
    </w:div>
    <w:div w:id="64189317">
      <w:bodyDiv w:val="1"/>
      <w:marLeft w:val="0"/>
      <w:marRight w:val="0"/>
      <w:marTop w:val="0"/>
      <w:marBottom w:val="0"/>
      <w:divBdr>
        <w:top w:val="none" w:sz="0" w:space="0" w:color="auto"/>
        <w:left w:val="none" w:sz="0" w:space="0" w:color="auto"/>
        <w:bottom w:val="none" w:sz="0" w:space="0" w:color="auto"/>
        <w:right w:val="none" w:sz="0" w:space="0" w:color="auto"/>
      </w:divBdr>
      <w:divsChild>
        <w:div w:id="1392270469">
          <w:marLeft w:val="0"/>
          <w:marRight w:val="0"/>
          <w:marTop w:val="0"/>
          <w:marBottom w:val="0"/>
          <w:divBdr>
            <w:top w:val="none" w:sz="0" w:space="0" w:color="auto"/>
            <w:left w:val="none" w:sz="0" w:space="0" w:color="auto"/>
            <w:bottom w:val="none" w:sz="0" w:space="0" w:color="auto"/>
            <w:right w:val="none" w:sz="0" w:space="0" w:color="auto"/>
          </w:divBdr>
          <w:divsChild>
            <w:div w:id="1861242674">
              <w:marLeft w:val="0"/>
              <w:marRight w:val="0"/>
              <w:marTop w:val="0"/>
              <w:marBottom w:val="0"/>
              <w:divBdr>
                <w:top w:val="none" w:sz="0" w:space="0" w:color="auto"/>
                <w:left w:val="none" w:sz="0" w:space="0" w:color="auto"/>
                <w:bottom w:val="none" w:sz="0" w:space="0" w:color="auto"/>
                <w:right w:val="none" w:sz="0" w:space="0" w:color="auto"/>
              </w:divBdr>
              <w:divsChild>
                <w:div w:id="1552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8314">
      <w:bodyDiv w:val="1"/>
      <w:marLeft w:val="0"/>
      <w:marRight w:val="0"/>
      <w:marTop w:val="0"/>
      <w:marBottom w:val="0"/>
      <w:divBdr>
        <w:top w:val="none" w:sz="0" w:space="0" w:color="auto"/>
        <w:left w:val="none" w:sz="0" w:space="0" w:color="auto"/>
        <w:bottom w:val="none" w:sz="0" w:space="0" w:color="auto"/>
        <w:right w:val="none" w:sz="0" w:space="0" w:color="auto"/>
      </w:divBdr>
    </w:div>
    <w:div w:id="128785558">
      <w:bodyDiv w:val="1"/>
      <w:marLeft w:val="0"/>
      <w:marRight w:val="0"/>
      <w:marTop w:val="0"/>
      <w:marBottom w:val="0"/>
      <w:divBdr>
        <w:top w:val="none" w:sz="0" w:space="0" w:color="auto"/>
        <w:left w:val="none" w:sz="0" w:space="0" w:color="auto"/>
        <w:bottom w:val="none" w:sz="0" w:space="0" w:color="auto"/>
        <w:right w:val="none" w:sz="0" w:space="0" w:color="auto"/>
      </w:divBdr>
    </w:div>
    <w:div w:id="136459695">
      <w:bodyDiv w:val="1"/>
      <w:marLeft w:val="0"/>
      <w:marRight w:val="0"/>
      <w:marTop w:val="0"/>
      <w:marBottom w:val="0"/>
      <w:divBdr>
        <w:top w:val="none" w:sz="0" w:space="0" w:color="auto"/>
        <w:left w:val="none" w:sz="0" w:space="0" w:color="auto"/>
        <w:bottom w:val="none" w:sz="0" w:space="0" w:color="auto"/>
        <w:right w:val="none" w:sz="0" w:space="0" w:color="auto"/>
      </w:divBdr>
      <w:divsChild>
        <w:div w:id="472985246">
          <w:marLeft w:val="0"/>
          <w:marRight w:val="0"/>
          <w:marTop w:val="0"/>
          <w:marBottom w:val="0"/>
          <w:divBdr>
            <w:top w:val="none" w:sz="0" w:space="0" w:color="auto"/>
            <w:left w:val="none" w:sz="0" w:space="0" w:color="auto"/>
            <w:bottom w:val="none" w:sz="0" w:space="0" w:color="auto"/>
            <w:right w:val="none" w:sz="0" w:space="0" w:color="auto"/>
          </w:divBdr>
          <w:divsChild>
            <w:div w:id="2130003290">
              <w:marLeft w:val="0"/>
              <w:marRight w:val="0"/>
              <w:marTop w:val="0"/>
              <w:marBottom w:val="0"/>
              <w:divBdr>
                <w:top w:val="none" w:sz="0" w:space="0" w:color="auto"/>
                <w:left w:val="none" w:sz="0" w:space="0" w:color="auto"/>
                <w:bottom w:val="none" w:sz="0" w:space="0" w:color="auto"/>
                <w:right w:val="none" w:sz="0" w:space="0" w:color="auto"/>
              </w:divBdr>
              <w:divsChild>
                <w:div w:id="792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2864">
      <w:bodyDiv w:val="1"/>
      <w:marLeft w:val="0"/>
      <w:marRight w:val="0"/>
      <w:marTop w:val="0"/>
      <w:marBottom w:val="0"/>
      <w:divBdr>
        <w:top w:val="none" w:sz="0" w:space="0" w:color="auto"/>
        <w:left w:val="none" w:sz="0" w:space="0" w:color="auto"/>
        <w:bottom w:val="none" w:sz="0" w:space="0" w:color="auto"/>
        <w:right w:val="none" w:sz="0" w:space="0" w:color="auto"/>
      </w:divBdr>
    </w:div>
    <w:div w:id="297953522">
      <w:bodyDiv w:val="1"/>
      <w:marLeft w:val="0"/>
      <w:marRight w:val="0"/>
      <w:marTop w:val="0"/>
      <w:marBottom w:val="0"/>
      <w:divBdr>
        <w:top w:val="none" w:sz="0" w:space="0" w:color="auto"/>
        <w:left w:val="none" w:sz="0" w:space="0" w:color="auto"/>
        <w:bottom w:val="none" w:sz="0" w:space="0" w:color="auto"/>
        <w:right w:val="none" w:sz="0" w:space="0" w:color="auto"/>
      </w:divBdr>
      <w:divsChild>
        <w:div w:id="275018924">
          <w:marLeft w:val="0"/>
          <w:marRight w:val="0"/>
          <w:marTop w:val="0"/>
          <w:marBottom w:val="0"/>
          <w:divBdr>
            <w:top w:val="none" w:sz="0" w:space="0" w:color="auto"/>
            <w:left w:val="none" w:sz="0" w:space="0" w:color="auto"/>
            <w:bottom w:val="none" w:sz="0" w:space="0" w:color="auto"/>
            <w:right w:val="none" w:sz="0" w:space="0" w:color="auto"/>
          </w:divBdr>
          <w:divsChild>
            <w:div w:id="1391345178">
              <w:marLeft w:val="0"/>
              <w:marRight w:val="0"/>
              <w:marTop w:val="0"/>
              <w:marBottom w:val="0"/>
              <w:divBdr>
                <w:top w:val="none" w:sz="0" w:space="0" w:color="auto"/>
                <w:left w:val="none" w:sz="0" w:space="0" w:color="auto"/>
                <w:bottom w:val="none" w:sz="0" w:space="0" w:color="auto"/>
                <w:right w:val="none" w:sz="0" w:space="0" w:color="auto"/>
              </w:divBdr>
              <w:divsChild>
                <w:div w:id="21165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3963">
      <w:bodyDiv w:val="1"/>
      <w:marLeft w:val="0"/>
      <w:marRight w:val="0"/>
      <w:marTop w:val="0"/>
      <w:marBottom w:val="0"/>
      <w:divBdr>
        <w:top w:val="none" w:sz="0" w:space="0" w:color="auto"/>
        <w:left w:val="none" w:sz="0" w:space="0" w:color="auto"/>
        <w:bottom w:val="none" w:sz="0" w:space="0" w:color="auto"/>
        <w:right w:val="none" w:sz="0" w:space="0" w:color="auto"/>
      </w:divBdr>
    </w:div>
    <w:div w:id="348991699">
      <w:bodyDiv w:val="1"/>
      <w:marLeft w:val="0"/>
      <w:marRight w:val="0"/>
      <w:marTop w:val="0"/>
      <w:marBottom w:val="0"/>
      <w:divBdr>
        <w:top w:val="none" w:sz="0" w:space="0" w:color="auto"/>
        <w:left w:val="none" w:sz="0" w:space="0" w:color="auto"/>
        <w:bottom w:val="none" w:sz="0" w:space="0" w:color="auto"/>
        <w:right w:val="none" w:sz="0" w:space="0" w:color="auto"/>
      </w:divBdr>
      <w:divsChild>
        <w:div w:id="875192781">
          <w:marLeft w:val="0"/>
          <w:marRight w:val="0"/>
          <w:marTop w:val="0"/>
          <w:marBottom w:val="0"/>
          <w:divBdr>
            <w:top w:val="none" w:sz="0" w:space="0" w:color="auto"/>
            <w:left w:val="none" w:sz="0" w:space="0" w:color="auto"/>
            <w:bottom w:val="none" w:sz="0" w:space="0" w:color="auto"/>
            <w:right w:val="none" w:sz="0" w:space="0" w:color="auto"/>
          </w:divBdr>
          <w:divsChild>
            <w:div w:id="2143233361">
              <w:marLeft w:val="0"/>
              <w:marRight w:val="0"/>
              <w:marTop w:val="0"/>
              <w:marBottom w:val="0"/>
              <w:divBdr>
                <w:top w:val="none" w:sz="0" w:space="0" w:color="auto"/>
                <w:left w:val="none" w:sz="0" w:space="0" w:color="auto"/>
                <w:bottom w:val="none" w:sz="0" w:space="0" w:color="auto"/>
                <w:right w:val="none" w:sz="0" w:space="0" w:color="auto"/>
              </w:divBdr>
              <w:divsChild>
                <w:div w:id="2822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26290">
      <w:bodyDiv w:val="1"/>
      <w:marLeft w:val="0"/>
      <w:marRight w:val="0"/>
      <w:marTop w:val="0"/>
      <w:marBottom w:val="0"/>
      <w:divBdr>
        <w:top w:val="none" w:sz="0" w:space="0" w:color="auto"/>
        <w:left w:val="none" w:sz="0" w:space="0" w:color="auto"/>
        <w:bottom w:val="none" w:sz="0" w:space="0" w:color="auto"/>
        <w:right w:val="none" w:sz="0" w:space="0" w:color="auto"/>
      </w:divBdr>
    </w:div>
    <w:div w:id="475416967">
      <w:bodyDiv w:val="1"/>
      <w:marLeft w:val="0"/>
      <w:marRight w:val="0"/>
      <w:marTop w:val="0"/>
      <w:marBottom w:val="0"/>
      <w:divBdr>
        <w:top w:val="none" w:sz="0" w:space="0" w:color="auto"/>
        <w:left w:val="none" w:sz="0" w:space="0" w:color="auto"/>
        <w:bottom w:val="none" w:sz="0" w:space="0" w:color="auto"/>
        <w:right w:val="none" w:sz="0" w:space="0" w:color="auto"/>
      </w:divBdr>
    </w:div>
    <w:div w:id="479076962">
      <w:bodyDiv w:val="1"/>
      <w:marLeft w:val="0"/>
      <w:marRight w:val="0"/>
      <w:marTop w:val="0"/>
      <w:marBottom w:val="0"/>
      <w:divBdr>
        <w:top w:val="none" w:sz="0" w:space="0" w:color="auto"/>
        <w:left w:val="none" w:sz="0" w:space="0" w:color="auto"/>
        <w:bottom w:val="none" w:sz="0" w:space="0" w:color="auto"/>
        <w:right w:val="none" w:sz="0" w:space="0" w:color="auto"/>
      </w:divBdr>
      <w:divsChild>
        <w:div w:id="1254321667">
          <w:marLeft w:val="0"/>
          <w:marRight w:val="0"/>
          <w:marTop w:val="0"/>
          <w:marBottom w:val="0"/>
          <w:divBdr>
            <w:top w:val="none" w:sz="0" w:space="0" w:color="auto"/>
            <w:left w:val="none" w:sz="0" w:space="0" w:color="auto"/>
            <w:bottom w:val="none" w:sz="0" w:space="0" w:color="auto"/>
            <w:right w:val="none" w:sz="0" w:space="0" w:color="auto"/>
          </w:divBdr>
          <w:divsChild>
            <w:div w:id="437869753">
              <w:marLeft w:val="0"/>
              <w:marRight w:val="0"/>
              <w:marTop w:val="0"/>
              <w:marBottom w:val="0"/>
              <w:divBdr>
                <w:top w:val="none" w:sz="0" w:space="0" w:color="auto"/>
                <w:left w:val="none" w:sz="0" w:space="0" w:color="auto"/>
                <w:bottom w:val="none" w:sz="0" w:space="0" w:color="auto"/>
                <w:right w:val="none" w:sz="0" w:space="0" w:color="auto"/>
              </w:divBdr>
              <w:divsChild>
                <w:div w:id="3490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740577">
      <w:bodyDiv w:val="1"/>
      <w:marLeft w:val="0"/>
      <w:marRight w:val="0"/>
      <w:marTop w:val="0"/>
      <w:marBottom w:val="0"/>
      <w:divBdr>
        <w:top w:val="none" w:sz="0" w:space="0" w:color="auto"/>
        <w:left w:val="none" w:sz="0" w:space="0" w:color="auto"/>
        <w:bottom w:val="none" w:sz="0" w:space="0" w:color="auto"/>
        <w:right w:val="none" w:sz="0" w:space="0" w:color="auto"/>
      </w:divBdr>
    </w:div>
    <w:div w:id="731270691">
      <w:bodyDiv w:val="1"/>
      <w:marLeft w:val="0"/>
      <w:marRight w:val="0"/>
      <w:marTop w:val="0"/>
      <w:marBottom w:val="0"/>
      <w:divBdr>
        <w:top w:val="none" w:sz="0" w:space="0" w:color="auto"/>
        <w:left w:val="none" w:sz="0" w:space="0" w:color="auto"/>
        <w:bottom w:val="none" w:sz="0" w:space="0" w:color="auto"/>
        <w:right w:val="none" w:sz="0" w:space="0" w:color="auto"/>
      </w:divBdr>
    </w:div>
    <w:div w:id="752629778">
      <w:bodyDiv w:val="1"/>
      <w:marLeft w:val="0"/>
      <w:marRight w:val="0"/>
      <w:marTop w:val="0"/>
      <w:marBottom w:val="0"/>
      <w:divBdr>
        <w:top w:val="none" w:sz="0" w:space="0" w:color="auto"/>
        <w:left w:val="none" w:sz="0" w:space="0" w:color="auto"/>
        <w:bottom w:val="none" w:sz="0" w:space="0" w:color="auto"/>
        <w:right w:val="none" w:sz="0" w:space="0" w:color="auto"/>
      </w:divBdr>
      <w:divsChild>
        <w:div w:id="381369850">
          <w:marLeft w:val="0"/>
          <w:marRight w:val="0"/>
          <w:marTop w:val="0"/>
          <w:marBottom w:val="0"/>
          <w:divBdr>
            <w:top w:val="none" w:sz="0" w:space="0" w:color="auto"/>
            <w:left w:val="none" w:sz="0" w:space="0" w:color="auto"/>
            <w:bottom w:val="none" w:sz="0" w:space="0" w:color="auto"/>
            <w:right w:val="none" w:sz="0" w:space="0" w:color="auto"/>
          </w:divBdr>
          <w:divsChild>
            <w:div w:id="1919560007">
              <w:marLeft w:val="0"/>
              <w:marRight w:val="0"/>
              <w:marTop w:val="0"/>
              <w:marBottom w:val="0"/>
              <w:divBdr>
                <w:top w:val="none" w:sz="0" w:space="0" w:color="auto"/>
                <w:left w:val="none" w:sz="0" w:space="0" w:color="auto"/>
                <w:bottom w:val="none" w:sz="0" w:space="0" w:color="auto"/>
                <w:right w:val="none" w:sz="0" w:space="0" w:color="auto"/>
              </w:divBdr>
              <w:divsChild>
                <w:div w:id="10841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968366">
      <w:bodyDiv w:val="1"/>
      <w:marLeft w:val="0"/>
      <w:marRight w:val="0"/>
      <w:marTop w:val="0"/>
      <w:marBottom w:val="0"/>
      <w:divBdr>
        <w:top w:val="none" w:sz="0" w:space="0" w:color="auto"/>
        <w:left w:val="none" w:sz="0" w:space="0" w:color="auto"/>
        <w:bottom w:val="none" w:sz="0" w:space="0" w:color="auto"/>
        <w:right w:val="none" w:sz="0" w:space="0" w:color="auto"/>
      </w:divBdr>
      <w:divsChild>
        <w:div w:id="1537043515">
          <w:marLeft w:val="0"/>
          <w:marRight w:val="0"/>
          <w:marTop w:val="0"/>
          <w:marBottom w:val="0"/>
          <w:divBdr>
            <w:top w:val="none" w:sz="0" w:space="0" w:color="auto"/>
            <w:left w:val="none" w:sz="0" w:space="0" w:color="auto"/>
            <w:bottom w:val="none" w:sz="0" w:space="0" w:color="auto"/>
            <w:right w:val="none" w:sz="0" w:space="0" w:color="auto"/>
          </w:divBdr>
          <w:divsChild>
            <w:div w:id="1896237110">
              <w:marLeft w:val="0"/>
              <w:marRight w:val="0"/>
              <w:marTop w:val="0"/>
              <w:marBottom w:val="0"/>
              <w:divBdr>
                <w:top w:val="none" w:sz="0" w:space="0" w:color="auto"/>
                <w:left w:val="none" w:sz="0" w:space="0" w:color="auto"/>
                <w:bottom w:val="none" w:sz="0" w:space="0" w:color="auto"/>
                <w:right w:val="none" w:sz="0" w:space="0" w:color="auto"/>
              </w:divBdr>
              <w:divsChild>
                <w:div w:id="384565434">
                  <w:marLeft w:val="0"/>
                  <w:marRight w:val="0"/>
                  <w:marTop w:val="0"/>
                  <w:marBottom w:val="0"/>
                  <w:divBdr>
                    <w:top w:val="none" w:sz="0" w:space="0" w:color="auto"/>
                    <w:left w:val="none" w:sz="0" w:space="0" w:color="auto"/>
                    <w:bottom w:val="none" w:sz="0" w:space="0" w:color="auto"/>
                    <w:right w:val="none" w:sz="0" w:space="0" w:color="auto"/>
                  </w:divBdr>
                  <w:divsChild>
                    <w:div w:id="164457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890044">
      <w:bodyDiv w:val="1"/>
      <w:marLeft w:val="0"/>
      <w:marRight w:val="0"/>
      <w:marTop w:val="0"/>
      <w:marBottom w:val="0"/>
      <w:divBdr>
        <w:top w:val="none" w:sz="0" w:space="0" w:color="auto"/>
        <w:left w:val="none" w:sz="0" w:space="0" w:color="auto"/>
        <w:bottom w:val="none" w:sz="0" w:space="0" w:color="auto"/>
        <w:right w:val="none" w:sz="0" w:space="0" w:color="auto"/>
      </w:divBdr>
      <w:divsChild>
        <w:div w:id="156504383">
          <w:marLeft w:val="0"/>
          <w:marRight w:val="0"/>
          <w:marTop w:val="0"/>
          <w:marBottom w:val="0"/>
          <w:divBdr>
            <w:top w:val="none" w:sz="0" w:space="0" w:color="auto"/>
            <w:left w:val="none" w:sz="0" w:space="0" w:color="auto"/>
            <w:bottom w:val="none" w:sz="0" w:space="0" w:color="auto"/>
            <w:right w:val="none" w:sz="0" w:space="0" w:color="auto"/>
          </w:divBdr>
          <w:divsChild>
            <w:div w:id="1425875740">
              <w:marLeft w:val="0"/>
              <w:marRight w:val="0"/>
              <w:marTop w:val="0"/>
              <w:marBottom w:val="0"/>
              <w:divBdr>
                <w:top w:val="none" w:sz="0" w:space="0" w:color="auto"/>
                <w:left w:val="none" w:sz="0" w:space="0" w:color="auto"/>
                <w:bottom w:val="none" w:sz="0" w:space="0" w:color="auto"/>
                <w:right w:val="none" w:sz="0" w:space="0" w:color="auto"/>
              </w:divBdr>
              <w:divsChild>
                <w:div w:id="2878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3923">
      <w:bodyDiv w:val="1"/>
      <w:marLeft w:val="0"/>
      <w:marRight w:val="0"/>
      <w:marTop w:val="0"/>
      <w:marBottom w:val="0"/>
      <w:divBdr>
        <w:top w:val="none" w:sz="0" w:space="0" w:color="auto"/>
        <w:left w:val="none" w:sz="0" w:space="0" w:color="auto"/>
        <w:bottom w:val="none" w:sz="0" w:space="0" w:color="auto"/>
        <w:right w:val="none" w:sz="0" w:space="0" w:color="auto"/>
      </w:divBdr>
    </w:div>
    <w:div w:id="1208681138">
      <w:bodyDiv w:val="1"/>
      <w:marLeft w:val="0"/>
      <w:marRight w:val="0"/>
      <w:marTop w:val="0"/>
      <w:marBottom w:val="0"/>
      <w:divBdr>
        <w:top w:val="none" w:sz="0" w:space="0" w:color="auto"/>
        <w:left w:val="none" w:sz="0" w:space="0" w:color="auto"/>
        <w:bottom w:val="none" w:sz="0" w:space="0" w:color="auto"/>
        <w:right w:val="none" w:sz="0" w:space="0" w:color="auto"/>
      </w:divBdr>
    </w:div>
    <w:div w:id="1243178474">
      <w:bodyDiv w:val="1"/>
      <w:marLeft w:val="0"/>
      <w:marRight w:val="0"/>
      <w:marTop w:val="0"/>
      <w:marBottom w:val="0"/>
      <w:divBdr>
        <w:top w:val="none" w:sz="0" w:space="0" w:color="auto"/>
        <w:left w:val="none" w:sz="0" w:space="0" w:color="auto"/>
        <w:bottom w:val="none" w:sz="0" w:space="0" w:color="auto"/>
        <w:right w:val="none" w:sz="0" w:space="0" w:color="auto"/>
      </w:divBdr>
      <w:divsChild>
        <w:div w:id="87629177">
          <w:marLeft w:val="0"/>
          <w:marRight w:val="0"/>
          <w:marTop w:val="0"/>
          <w:marBottom w:val="0"/>
          <w:divBdr>
            <w:top w:val="none" w:sz="0" w:space="0" w:color="auto"/>
            <w:left w:val="none" w:sz="0" w:space="0" w:color="auto"/>
            <w:bottom w:val="none" w:sz="0" w:space="0" w:color="auto"/>
            <w:right w:val="none" w:sz="0" w:space="0" w:color="auto"/>
          </w:divBdr>
          <w:divsChild>
            <w:div w:id="803892679">
              <w:marLeft w:val="0"/>
              <w:marRight w:val="0"/>
              <w:marTop w:val="0"/>
              <w:marBottom w:val="0"/>
              <w:divBdr>
                <w:top w:val="none" w:sz="0" w:space="0" w:color="auto"/>
                <w:left w:val="none" w:sz="0" w:space="0" w:color="auto"/>
                <w:bottom w:val="none" w:sz="0" w:space="0" w:color="auto"/>
                <w:right w:val="none" w:sz="0" w:space="0" w:color="auto"/>
              </w:divBdr>
              <w:divsChild>
                <w:div w:id="8206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64634">
      <w:bodyDiv w:val="1"/>
      <w:marLeft w:val="0"/>
      <w:marRight w:val="0"/>
      <w:marTop w:val="0"/>
      <w:marBottom w:val="0"/>
      <w:divBdr>
        <w:top w:val="none" w:sz="0" w:space="0" w:color="auto"/>
        <w:left w:val="none" w:sz="0" w:space="0" w:color="auto"/>
        <w:bottom w:val="none" w:sz="0" w:space="0" w:color="auto"/>
        <w:right w:val="none" w:sz="0" w:space="0" w:color="auto"/>
      </w:divBdr>
    </w:div>
    <w:div w:id="1473326261">
      <w:bodyDiv w:val="1"/>
      <w:marLeft w:val="0"/>
      <w:marRight w:val="0"/>
      <w:marTop w:val="0"/>
      <w:marBottom w:val="0"/>
      <w:divBdr>
        <w:top w:val="none" w:sz="0" w:space="0" w:color="auto"/>
        <w:left w:val="none" w:sz="0" w:space="0" w:color="auto"/>
        <w:bottom w:val="none" w:sz="0" w:space="0" w:color="auto"/>
        <w:right w:val="none" w:sz="0" w:space="0" w:color="auto"/>
      </w:divBdr>
    </w:div>
    <w:div w:id="1492983033">
      <w:bodyDiv w:val="1"/>
      <w:marLeft w:val="0"/>
      <w:marRight w:val="0"/>
      <w:marTop w:val="0"/>
      <w:marBottom w:val="0"/>
      <w:divBdr>
        <w:top w:val="none" w:sz="0" w:space="0" w:color="auto"/>
        <w:left w:val="none" w:sz="0" w:space="0" w:color="auto"/>
        <w:bottom w:val="none" w:sz="0" w:space="0" w:color="auto"/>
        <w:right w:val="none" w:sz="0" w:space="0" w:color="auto"/>
      </w:divBdr>
      <w:divsChild>
        <w:div w:id="988556450">
          <w:marLeft w:val="0"/>
          <w:marRight w:val="0"/>
          <w:marTop w:val="0"/>
          <w:marBottom w:val="0"/>
          <w:divBdr>
            <w:top w:val="none" w:sz="0" w:space="0" w:color="auto"/>
            <w:left w:val="none" w:sz="0" w:space="0" w:color="auto"/>
            <w:bottom w:val="none" w:sz="0" w:space="0" w:color="auto"/>
            <w:right w:val="none" w:sz="0" w:space="0" w:color="auto"/>
          </w:divBdr>
          <w:divsChild>
            <w:div w:id="1381831306">
              <w:marLeft w:val="0"/>
              <w:marRight w:val="0"/>
              <w:marTop w:val="0"/>
              <w:marBottom w:val="0"/>
              <w:divBdr>
                <w:top w:val="none" w:sz="0" w:space="0" w:color="auto"/>
                <w:left w:val="none" w:sz="0" w:space="0" w:color="auto"/>
                <w:bottom w:val="none" w:sz="0" w:space="0" w:color="auto"/>
                <w:right w:val="none" w:sz="0" w:space="0" w:color="auto"/>
              </w:divBdr>
              <w:divsChild>
                <w:div w:id="15474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50224">
      <w:bodyDiv w:val="1"/>
      <w:marLeft w:val="0"/>
      <w:marRight w:val="0"/>
      <w:marTop w:val="0"/>
      <w:marBottom w:val="0"/>
      <w:divBdr>
        <w:top w:val="none" w:sz="0" w:space="0" w:color="auto"/>
        <w:left w:val="none" w:sz="0" w:space="0" w:color="auto"/>
        <w:bottom w:val="none" w:sz="0" w:space="0" w:color="auto"/>
        <w:right w:val="none" w:sz="0" w:space="0" w:color="auto"/>
      </w:divBdr>
      <w:divsChild>
        <w:div w:id="77408918">
          <w:marLeft w:val="0"/>
          <w:marRight w:val="0"/>
          <w:marTop w:val="0"/>
          <w:marBottom w:val="0"/>
          <w:divBdr>
            <w:top w:val="none" w:sz="0" w:space="0" w:color="auto"/>
            <w:left w:val="none" w:sz="0" w:space="0" w:color="auto"/>
            <w:bottom w:val="none" w:sz="0" w:space="0" w:color="auto"/>
            <w:right w:val="none" w:sz="0" w:space="0" w:color="auto"/>
          </w:divBdr>
          <w:divsChild>
            <w:div w:id="1065763771">
              <w:marLeft w:val="0"/>
              <w:marRight w:val="0"/>
              <w:marTop w:val="0"/>
              <w:marBottom w:val="0"/>
              <w:divBdr>
                <w:top w:val="none" w:sz="0" w:space="0" w:color="auto"/>
                <w:left w:val="none" w:sz="0" w:space="0" w:color="auto"/>
                <w:bottom w:val="none" w:sz="0" w:space="0" w:color="auto"/>
                <w:right w:val="none" w:sz="0" w:space="0" w:color="auto"/>
              </w:divBdr>
              <w:divsChild>
                <w:div w:id="15190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3828">
      <w:bodyDiv w:val="1"/>
      <w:marLeft w:val="0"/>
      <w:marRight w:val="0"/>
      <w:marTop w:val="0"/>
      <w:marBottom w:val="0"/>
      <w:divBdr>
        <w:top w:val="none" w:sz="0" w:space="0" w:color="auto"/>
        <w:left w:val="none" w:sz="0" w:space="0" w:color="auto"/>
        <w:bottom w:val="none" w:sz="0" w:space="0" w:color="auto"/>
        <w:right w:val="none" w:sz="0" w:space="0" w:color="auto"/>
      </w:divBdr>
      <w:divsChild>
        <w:div w:id="699282698">
          <w:marLeft w:val="0"/>
          <w:marRight w:val="0"/>
          <w:marTop w:val="0"/>
          <w:marBottom w:val="0"/>
          <w:divBdr>
            <w:top w:val="none" w:sz="0" w:space="0" w:color="auto"/>
            <w:left w:val="none" w:sz="0" w:space="0" w:color="auto"/>
            <w:bottom w:val="none" w:sz="0" w:space="0" w:color="auto"/>
            <w:right w:val="none" w:sz="0" w:space="0" w:color="auto"/>
          </w:divBdr>
          <w:divsChild>
            <w:div w:id="22289164">
              <w:marLeft w:val="0"/>
              <w:marRight w:val="0"/>
              <w:marTop w:val="0"/>
              <w:marBottom w:val="0"/>
              <w:divBdr>
                <w:top w:val="none" w:sz="0" w:space="0" w:color="auto"/>
                <w:left w:val="none" w:sz="0" w:space="0" w:color="auto"/>
                <w:bottom w:val="none" w:sz="0" w:space="0" w:color="auto"/>
                <w:right w:val="none" w:sz="0" w:space="0" w:color="auto"/>
              </w:divBdr>
              <w:divsChild>
                <w:div w:id="1253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920">
      <w:bodyDiv w:val="1"/>
      <w:marLeft w:val="0"/>
      <w:marRight w:val="0"/>
      <w:marTop w:val="0"/>
      <w:marBottom w:val="0"/>
      <w:divBdr>
        <w:top w:val="none" w:sz="0" w:space="0" w:color="auto"/>
        <w:left w:val="none" w:sz="0" w:space="0" w:color="auto"/>
        <w:bottom w:val="none" w:sz="0" w:space="0" w:color="auto"/>
        <w:right w:val="none" w:sz="0" w:space="0" w:color="auto"/>
      </w:divBdr>
    </w:div>
    <w:div w:id="1817913908">
      <w:bodyDiv w:val="1"/>
      <w:marLeft w:val="0"/>
      <w:marRight w:val="0"/>
      <w:marTop w:val="0"/>
      <w:marBottom w:val="0"/>
      <w:divBdr>
        <w:top w:val="none" w:sz="0" w:space="0" w:color="auto"/>
        <w:left w:val="none" w:sz="0" w:space="0" w:color="auto"/>
        <w:bottom w:val="none" w:sz="0" w:space="0" w:color="auto"/>
        <w:right w:val="none" w:sz="0" w:space="0" w:color="auto"/>
      </w:divBdr>
    </w:div>
    <w:div w:id="1862357661">
      <w:bodyDiv w:val="1"/>
      <w:marLeft w:val="0"/>
      <w:marRight w:val="0"/>
      <w:marTop w:val="0"/>
      <w:marBottom w:val="0"/>
      <w:divBdr>
        <w:top w:val="none" w:sz="0" w:space="0" w:color="auto"/>
        <w:left w:val="none" w:sz="0" w:space="0" w:color="auto"/>
        <w:bottom w:val="none" w:sz="0" w:space="0" w:color="auto"/>
        <w:right w:val="none" w:sz="0" w:space="0" w:color="auto"/>
      </w:divBdr>
      <w:divsChild>
        <w:div w:id="96802920">
          <w:marLeft w:val="0"/>
          <w:marRight w:val="0"/>
          <w:marTop w:val="0"/>
          <w:marBottom w:val="0"/>
          <w:divBdr>
            <w:top w:val="none" w:sz="0" w:space="0" w:color="auto"/>
            <w:left w:val="none" w:sz="0" w:space="0" w:color="auto"/>
            <w:bottom w:val="none" w:sz="0" w:space="0" w:color="auto"/>
            <w:right w:val="none" w:sz="0" w:space="0" w:color="auto"/>
          </w:divBdr>
          <w:divsChild>
            <w:div w:id="2067333230">
              <w:marLeft w:val="0"/>
              <w:marRight w:val="0"/>
              <w:marTop w:val="0"/>
              <w:marBottom w:val="0"/>
              <w:divBdr>
                <w:top w:val="none" w:sz="0" w:space="0" w:color="auto"/>
                <w:left w:val="none" w:sz="0" w:space="0" w:color="auto"/>
                <w:bottom w:val="none" w:sz="0" w:space="0" w:color="auto"/>
                <w:right w:val="none" w:sz="0" w:space="0" w:color="auto"/>
              </w:divBdr>
              <w:divsChild>
                <w:div w:id="10247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83488">
      <w:bodyDiv w:val="1"/>
      <w:marLeft w:val="0"/>
      <w:marRight w:val="0"/>
      <w:marTop w:val="0"/>
      <w:marBottom w:val="0"/>
      <w:divBdr>
        <w:top w:val="none" w:sz="0" w:space="0" w:color="auto"/>
        <w:left w:val="none" w:sz="0" w:space="0" w:color="auto"/>
        <w:bottom w:val="none" w:sz="0" w:space="0" w:color="auto"/>
        <w:right w:val="none" w:sz="0" w:space="0" w:color="auto"/>
      </w:divBdr>
      <w:divsChild>
        <w:div w:id="911742053">
          <w:marLeft w:val="0"/>
          <w:marRight w:val="0"/>
          <w:marTop w:val="0"/>
          <w:marBottom w:val="0"/>
          <w:divBdr>
            <w:top w:val="none" w:sz="0" w:space="0" w:color="auto"/>
            <w:left w:val="none" w:sz="0" w:space="0" w:color="auto"/>
            <w:bottom w:val="none" w:sz="0" w:space="0" w:color="auto"/>
            <w:right w:val="none" w:sz="0" w:space="0" w:color="auto"/>
          </w:divBdr>
          <w:divsChild>
            <w:div w:id="32049170">
              <w:marLeft w:val="0"/>
              <w:marRight w:val="0"/>
              <w:marTop w:val="0"/>
              <w:marBottom w:val="0"/>
              <w:divBdr>
                <w:top w:val="none" w:sz="0" w:space="0" w:color="auto"/>
                <w:left w:val="none" w:sz="0" w:space="0" w:color="auto"/>
                <w:bottom w:val="none" w:sz="0" w:space="0" w:color="auto"/>
                <w:right w:val="none" w:sz="0" w:space="0" w:color="auto"/>
              </w:divBdr>
              <w:divsChild>
                <w:div w:id="14872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0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tatbel.fgov.be/en" TargetMode="Externa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settings" Target="settings.xml"/><Relationship Id="rId12" Type="http://schemas.openxmlformats.org/officeDocument/2006/relationships/hyperlink" Target="https://doi.org/10.1016/j.healthplace.2021.102603"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leefmilieu.brusse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ia.rodriguez.loureiro@vub.b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www.ircelin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94d82011-c13c-4673-9108-9104f0859791" xsi:nil="true"/>
    <DOI xmlns="94d82011-c13c-4673-9108-9104f0859791">10.1016/j.healthplace.2021.102603</DOI>
    <PublicURL xmlns="94d82011-c13c-4673-9108-9104f0859791">https://pub.vito.be/openaccess/2021-Rodriguez-Loureiro et al., Social inequalities in the associations between urban green spaces.docx</PublicURL>
    <Publish xmlns="94d82011-c13c-4673-9108-9104f0859791">true</Publish>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1A4EB05C30D0418E775B1FB91D3600" ma:contentTypeVersion="14" ma:contentTypeDescription="Create a new document." ma:contentTypeScope="" ma:versionID="83282de58e096dc757d6ad59900e8217">
  <xsd:schema xmlns:xsd="http://www.w3.org/2001/XMLSchema" xmlns:xs="http://www.w3.org/2001/XMLSchema" xmlns:p="http://schemas.microsoft.com/office/2006/metadata/properties" xmlns:ns2="94d82011-c13c-4673-9108-9104f0859791" targetNamespace="http://schemas.microsoft.com/office/2006/metadata/properties" ma:root="true" ma:fieldsID="9b59b4f5630bc4d667fdc5fb5dbd453d" ns2:_="">
    <xsd:import namespace="94d82011-c13c-4673-9108-9104f0859791"/>
    <xsd:element name="properties">
      <xsd:complexType>
        <xsd:sequence>
          <xsd:element name="documentManagement">
            <xsd:complexType>
              <xsd:all>
                <xsd:element ref="ns2:Comments" minOccurs="0"/>
                <xsd:element ref="ns2:PublicURL"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OI" minOccurs="0"/>
                <xsd:element ref="ns2:MediaServiceAutoKeyPoints" minOccurs="0"/>
                <xsd:element ref="ns2:MediaServiceKeyPoints" minOccurs="0"/>
                <xsd:element ref="ns2:Publi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82011-c13c-4673-9108-9104f0859791"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cURL" ma:index="9" nillable="true" ma:displayName="PublicURL" ma:internalName="PublicURL">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OI" ma:index="16" nillable="true" ma:displayName="DOI" ma:format="Dropdown" ma:indexed="true" ma:internalName="DOI">
      <xsd:simpleType>
        <xsd:restriction base="dms:Text">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Publish" ma:index="19" nillable="true" ma:displayName="Publish" ma:default="1" ma:internalName="Publish">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0F4043-0B8B-482F-B88F-6E84A48BDC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7DCD07-13FC-9042-B596-4F83A5919CFC}">
  <ds:schemaRefs>
    <ds:schemaRef ds:uri="http://schemas.openxmlformats.org/officeDocument/2006/bibliography"/>
  </ds:schemaRefs>
</ds:datastoreItem>
</file>

<file path=customXml/itemProps3.xml><?xml version="1.0" encoding="utf-8"?>
<ds:datastoreItem xmlns:ds="http://schemas.openxmlformats.org/officeDocument/2006/customXml" ds:itemID="{74F58D36-7A49-4920-BC71-2182A6A9B86C}"/>
</file>

<file path=customXml/itemProps4.xml><?xml version="1.0" encoding="utf-8"?>
<ds:datastoreItem xmlns:ds="http://schemas.openxmlformats.org/officeDocument/2006/customXml" ds:itemID="{4B8B751E-6511-4928-BD02-0A2C9DA3E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42836</Words>
  <Characters>244166</Characters>
  <Application>Microsoft Office Word</Application>
  <DocSecurity>0</DocSecurity>
  <Lines>2034</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Rodriguez Loureiro</dc:creator>
  <cp:keywords/>
  <dc:description/>
  <cp:lastModifiedBy>Lucia Rodriguez Loureiro</cp:lastModifiedBy>
  <cp:revision>18</cp:revision>
  <cp:lastPrinted>2020-01-27T13:44:00Z</cp:lastPrinted>
  <dcterms:created xsi:type="dcterms:W3CDTF">2022-01-10T19:46:00Z</dcterms:created>
  <dcterms:modified xsi:type="dcterms:W3CDTF">2022-01-11T14:32:00Z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http://www.zotero.org/styles/environmental-health-perspectives</vt:lpwstr>
  </property>
  <property fmtid="{D5CDD505-2E9C-101B-9397-08002B2CF9AE}" pid="13" name="Mendeley Recent Style Name 5_1">
    <vt:lpwstr>Environmental Health Perspectives</vt:lpwstr>
  </property>
  <property fmtid="{D5CDD505-2E9C-101B-9397-08002B2CF9AE}" pid="14" name="Mendeley Recent Style Id 6_1">
    <vt:lpwstr>http://www.zotero.org/styles/health-and-place</vt:lpwstr>
  </property>
  <property fmtid="{D5CDD505-2E9C-101B-9397-08002B2CF9AE}" pid="15" name="Mendeley Recent Style Name 6_1">
    <vt:lpwstr>Health and Place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65caf896-2754-3f41-b1da-d1ef7a18e3f9</vt:lpwstr>
  </property>
  <property fmtid="{D5CDD505-2E9C-101B-9397-08002B2CF9AE}" pid="24" name="Mendeley Citation Style_1">
    <vt:lpwstr>http://www.zotero.org/styles/health-and-place</vt:lpwstr>
  </property>
  <property fmtid="{D5CDD505-2E9C-101B-9397-08002B2CF9AE}" pid="25" name="ContentTypeId">
    <vt:lpwstr>0x010100BA1A4EB05C30D0418E775B1FB91D3600</vt:lpwstr>
  </property>
</Properties>
</file>